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61" w:rsidRDefault="001841AC">
      <w:pPr>
        <w:pStyle w:val="Standard"/>
        <w:shd w:val="clear" w:color="auto" w:fill="FFFFFF"/>
        <w:spacing w:line="200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PATVIRTINTA</w:t>
      </w:r>
    </w:p>
    <w:p w:rsidR="002B0161" w:rsidRDefault="001841AC">
      <w:pPr>
        <w:pStyle w:val="Standard"/>
        <w:shd w:val="clear" w:color="auto" w:fill="FFFFFF"/>
        <w:spacing w:line="200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Panevėžio  rajono savivaldybės</w:t>
      </w:r>
    </w:p>
    <w:p w:rsidR="002B0161" w:rsidRDefault="001841AC">
      <w:pPr>
        <w:pStyle w:val="Standard"/>
        <w:shd w:val="clear" w:color="auto" w:fill="FFFFFF"/>
        <w:spacing w:line="200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administracijos direktoriaus</w:t>
      </w:r>
    </w:p>
    <w:p w:rsidR="002B0161" w:rsidRDefault="001841AC">
      <w:pPr>
        <w:pStyle w:val="Standard"/>
        <w:shd w:val="clear" w:color="auto" w:fill="FFFFFF"/>
        <w:spacing w:line="200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2016 m. gegužės </w:t>
      </w:r>
      <w:r w:rsidR="00ED68E6">
        <w:t>19</w:t>
      </w:r>
      <w:r>
        <w:t xml:space="preserve"> d. įsakymu Nr.</w:t>
      </w:r>
      <w:r w:rsidR="00ED68E6">
        <w:t xml:space="preserve"> A-628</w:t>
      </w:r>
      <w:bookmarkStart w:id="0" w:name="_GoBack"/>
      <w:bookmarkEnd w:id="0"/>
    </w:p>
    <w:p w:rsidR="002B0161" w:rsidRDefault="002B0161">
      <w:pPr>
        <w:pStyle w:val="Standard"/>
        <w:shd w:val="clear" w:color="auto" w:fill="FFFFFF"/>
        <w:spacing w:line="200" w:lineRule="atLeast"/>
      </w:pPr>
    </w:p>
    <w:p w:rsidR="002B0161" w:rsidRDefault="002B0161">
      <w:pPr>
        <w:pStyle w:val="Standard"/>
        <w:shd w:val="clear" w:color="auto" w:fill="FFFFFF"/>
        <w:spacing w:line="200" w:lineRule="atLeast"/>
        <w:rPr>
          <w:b/>
          <w:bCs/>
        </w:rPr>
      </w:pPr>
    </w:p>
    <w:p w:rsidR="002B0161" w:rsidRDefault="001841AC">
      <w:pPr>
        <w:pStyle w:val="Standard"/>
        <w:shd w:val="clear" w:color="auto" w:fill="FFFFFF"/>
        <w:spacing w:line="200" w:lineRule="atLeast"/>
        <w:rPr>
          <w:b/>
          <w:bCs/>
        </w:rPr>
      </w:pPr>
      <w:r>
        <w:rPr>
          <w:b/>
          <w:bCs/>
        </w:rPr>
        <w:t xml:space="preserve">PANEVĖŽIO RAJONO SAVIVALDYBĖS GYVENTOJŲ </w:t>
      </w:r>
      <w:r>
        <w:rPr>
          <w:b/>
          <w:bCs/>
        </w:rPr>
        <w:t>EVAKAVIMO IR PRIĖMIMO</w:t>
      </w:r>
    </w:p>
    <w:p w:rsidR="002B0161" w:rsidRDefault="001841AC">
      <w:pPr>
        <w:pStyle w:val="Standard"/>
        <w:shd w:val="clear" w:color="auto" w:fill="FFFFFF"/>
        <w:spacing w:line="200" w:lineRule="atLeast"/>
        <w:jc w:val="center"/>
        <w:rPr>
          <w:b/>
          <w:bCs/>
        </w:rPr>
      </w:pPr>
      <w:r>
        <w:rPr>
          <w:b/>
          <w:bCs/>
        </w:rPr>
        <w:t>KOMISIJOS NUOSTATAI</w:t>
      </w:r>
    </w:p>
    <w:p w:rsidR="002B0161" w:rsidRDefault="002B0161">
      <w:pPr>
        <w:pStyle w:val="Standard"/>
        <w:shd w:val="clear" w:color="auto" w:fill="FFFFFF"/>
        <w:spacing w:line="200" w:lineRule="atLeast"/>
        <w:jc w:val="center"/>
        <w:rPr>
          <w:b/>
          <w:bCs/>
        </w:rPr>
      </w:pPr>
    </w:p>
    <w:p w:rsidR="002B0161" w:rsidRDefault="001841AC">
      <w:pPr>
        <w:pStyle w:val="Standard"/>
        <w:shd w:val="clear" w:color="auto" w:fill="FFFFFF"/>
        <w:spacing w:line="200" w:lineRule="atLeast"/>
        <w:jc w:val="center"/>
        <w:rPr>
          <w:b/>
          <w:bCs/>
        </w:rPr>
      </w:pPr>
      <w:r>
        <w:rPr>
          <w:b/>
          <w:bCs/>
        </w:rPr>
        <w:t>I. BENDROSIOS NUOSTATOS</w:t>
      </w:r>
    </w:p>
    <w:p w:rsidR="002B0161" w:rsidRDefault="002B0161">
      <w:pPr>
        <w:pStyle w:val="Standard"/>
        <w:shd w:val="clear" w:color="auto" w:fill="FFFFFF"/>
        <w:spacing w:line="200" w:lineRule="atLeast"/>
        <w:jc w:val="center"/>
      </w:pP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rPr>
          <w:b/>
          <w:bCs/>
        </w:rPr>
        <w:tab/>
      </w:r>
      <w:r>
        <w:t>1.</w:t>
      </w:r>
      <w:r>
        <w:rPr>
          <w:b/>
          <w:bCs/>
        </w:rPr>
        <w:t xml:space="preserve"> </w:t>
      </w:r>
      <w:r>
        <w:t xml:space="preserve">Panevėžio rajono savivaldybės gyventojų evakavimo ir priėmimo komisijos nuostatai (toliau </w:t>
      </w:r>
      <w:r>
        <w:rPr>
          <w:rFonts w:eastAsia="Times New Roman"/>
        </w:rPr>
        <w:t>–</w:t>
      </w:r>
      <w:r>
        <w:t xml:space="preserve"> Nuostatai) reglamentuoja Panevėžio rajono savivaldybės gyventojų evakavimo ir priėmimo komis</w:t>
      </w:r>
      <w:r>
        <w:t xml:space="preserve">ijos (toliau </w:t>
      </w:r>
      <w:r>
        <w:rPr>
          <w:rFonts w:eastAsia="Times New Roman"/>
        </w:rPr>
        <w:t>– Komisija)</w:t>
      </w:r>
      <w:r>
        <w:t xml:space="preserve"> uždavinius, funkcijas ir komisijos darbo organizavimą.</w:t>
      </w: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tab/>
        <w:t xml:space="preserve">2. Komisijos paskirtis </w:t>
      </w:r>
      <w:r>
        <w:rPr>
          <w:rFonts w:eastAsia="Times New Roman"/>
        </w:rPr>
        <w:t xml:space="preserve">– </w:t>
      </w:r>
      <w:r>
        <w:t>organizuoti gyventojų evakavimą gresiant ar susidarius ekstremaliajai situacijai, įvedus karo padėtį.</w:t>
      </w: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tab/>
        <w:t xml:space="preserve">3. Komisija savo veikloje vadovaujasi Lietuvos </w:t>
      </w:r>
      <w:r>
        <w:t>Respublikos įstatymais, Lietuvos Respublikos Vyriausybės nutarimais, šiais Nuostatais ir kitais teisės aktais, reglamentuojančiais gyventojų evakavimo organizavimą gresiant ar susidarius ekstremaliajai situacijai.</w:t>
      </w:r>
    </w:p>
    <w:p w:rsidR="002B0161" w:rsidRDefault="002B0161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</w:p>
    <w:p w:rsidR="002B0161" w:rsidRDefault="001841AC">
      <w:pPr>
        <w:pStyle w:val="Standard"/>
        <w:numPr>
          <w:ilvl w:val="3"/>
          <w:numId w:val="1"/>
        </w:numPr>
        <w:shd w:val="clear" w:color="auto" w:fill="FFFFFF"/>
        <w:tabs>
          <w:tab w:val="left" w:pos="-1362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KOMISIJOS SUDARYMAS IR JOS DARBO </w:t>
      </w:r>
      <w:r>
        <w:rPr>
          <w:b/>
          <w:bCs/>
        </w:rPr>
        <w:t>ORGANIZAVIMAS</w:t>
      </w:r>
    </w:p>
    <w:p w:rsidR="002B0161" w:rsidRDefault="002B0161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tab/>
        <w:t>4. Komisija sudaroma Panevėžio rajono savivaldybės administracijos direktoriaus pavaduotojo įsakymu.</w:t>
      </w: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tab/>
        <w:t xml:space="preserve">5. </w:t>
      </w:r>
      <w:r>
        <w:rPr>
          <w:lang w:eastAsia="lt-LT"/>
        </w:rPr>
        <w:t>Komisijai vadovauja įsakymu paskirtas asmuo – komisijos pirmininkas. Komisija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atskaitinga savivaldybės ekstremalių situacijų komisijai </w:t>
      </w:r>
      <w:r>
        <w:rPr>
          <w:lang w:eastAsia="lt-LT"/>
        </w:rPr>
        <w:t>ir pavaldi ekstremaliosios situacijos operacijų vadovui, o kai jis nepaskirtas, – savivaldybės ekstremaliųjų situacijų operacijų centro koordinatoriui</w:t>
      </w:r>
      <w:r>
        <w:t>.</w:t>
      </w: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tab/>
        <w:t>6. Komisijos sprendimai priimami Komisijos posėdyje dalyvaujančių Komisijos narių balsų dauguma.</w:t>
      </w: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  <w:r>
        <w:tab/>
        <w:t>7. Ko</w:t>
      </w:r>
      <w:r>
        <w:t>misijos sprendimai įforminami posėdžio protokolu.</w:t>
      </w:r>
    </w:p>
    <w:p w:rsidR="002B0161" w:rsidRDefault="002B0161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III. KOMISIJOS UŽDAVINIAI IR FUNKCIJOS</w:t>
      </w:r>
    </w:p>
    <w:p w:rsidR="002B0161" w:rsidRDefault="002B0161">
      <w:pPr>
        <w:pStyle w:val="Standard"/>
        <w:shd w:val="clear" w:color="auto" w:fill="FFFFFF"/>
        <w:tabs>
          <w:tab w:val="left" w:pos="-4962"/>
        </w:tabs>
        <w:spacing w:line="200" w:lineRule="atLeast"/>
        <w:jc w:val="both"/>
      </w:pPr>
    </w:p>
    <w:p w:rsidR="002B0161" w:rsidRDefault="001841AC">
      <w:pPr>
        <w:pStyle w:val="Standard"/>
        <w:tabs>
          <w:tab w:val="left" w:pos="1134"/>
        </w:tabs>
        <w:ind w:firstLine="720"/>
        <w:jc w:val="both"/>
      </w:pPr>
      <w:r>
        <w:t xml:space="preserve">8. </w:t>
      </w:r>
      <w:r>
        <w:rPr>
          <w:lang w:eastAsia="lt-LT"/>
        </w:rPr>
        <w:t>Komisija organizuoja: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8.1. </w:t>
      </w:r>
      <w:r>
        <w:rPr>
          <w:lang w:eastAsia="lt-LT"/>
        </w:rPr>
        <w:t>gyventojų informavimą apie evakavimą;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8.2. </w:t>
      </w:r>
      <w:r>
        <w:rPr>
          <w:lang w:eastAsia="lt-LT"/>
        </w:rPr>
        <w:t>eismo reguliavimą gyventojų evakavimo maršrutuose;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8.3. </w:t>
      </w:r>
      <w:r>
        <w:rPr>
          <w:lang w:eastAsia="lt-LT"/>
        </w:rPr>
        <w:t xml:space="preserve">gyventojų priėmimą, stacionarių ar </w:t>
      </w:r>
      <w:r>
        <w:rPr>
          <w:lang w:eastAsia="lt-LT"/>
        </w:rPr>
        <w:t>laikinų gyvenamųjų patalpų laikiną suteikimą ir gyvybiškai būtinų paslaugų – gyventojų aprūpinimą maistu, geriamuoju vandeniu, medikamentais, švariais drabužiais, pirmosios ir skubiosios medicinos pagalbos ir kitų gyvybiškai būtinų paslaugų (toliau – būtin</w:t>
      </w:r>
      <w:r>
        <w:rPr>
          <w:lang w:eastAsia="lt-LT"/>
        </w:rPr>
        <w:t>osios paslaugos) – suteikimą;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8.4. </w:t>
      </w:r>
      <w:r>
        <w:rPr>
          <w:lang w:eastAsia="lt-LT"/>
        </w:rPr>
        <w:t>gyventojų surinkimo punktų, tarpinių gyventojų evakavimo punktų ir gyventojų priėmimo punktų veiklos koordinavimą, evakuotinų gyventojų registravimą;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8.5. </w:t>
      </w:r>
      <w:r>
        <w:rPr>
          <w:lang w:eastAsia="lt-LT"/>
        </w:rPr>
        <w:t>aprūpinimą transporto priemonėmis, reikalingomis gyventojams evaku</w:t>
      </w:r>
      <w:r>
        <w:rPr>
          <w:lang w:eastAsia="lt-LT"/>
        </w:rPr>
        <w:t>oti;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8.6. </w:t>
      </w:r>
      <w:r>
        <w:rPr>
          <w:lang w:eastAsia="lt-LT"/>
        </w:rPr>
        <w:t>transporto priemonių paskirstymą gyventojų surinkimo punktams, šių transporto priemonių ir (ar) pėsčiųjų kolonų palydą, apsaugą;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8.7. </w:t>
      </w:r>
      <w:r>
        <w:rPr>
          <w:lang w:eastAsia="lt-LT"/>
        </w:rPr>
        <w:t>informacijos apie gyventojų evakavimą teikimą visuomenei ir su evakavimu susijusioms valstybės ir savivaldybių i</w:t>
      </w:r>
      <w:r>
        <w:rPr>
          <w:lang w:eastAsia="lt-LT"/>
        </w:rPr>
        <w:t>nstitucijoms ir įstaigoms, ūkio subjektams ir kitoms įstaigoms;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8.8. </w:t>
      </w:r>
      <w:r>
        <w:rPr>
          <w:lang w:eastAsia="lt-LT"/>
        </w:rPr>
        <w:t>pagalbinės technikos, būtinos sklandžiam judėjimui užtikrinti (sugedusioms transporto priemonėms patraukti nuo važiuojamosios kelio dalies, degalams papildyti ar kitos), telkimą gyventojų</w:t>
      </w:r>
      <w:r>
        <w:rPr>
          <w:lang w:eastAsia="lt-LT"/>
        </w:rPr>
        <w:t xml:space="preserve"> evakavimo maršrutuose;</w:t>
      </w:r>
    </w:p>
    <w:p w:rsidR="002B0161" w:rsidRDefault="001841AC">
      <w:pPr>
        <w:pStyle w:val="Standard"/>
        <w:ind w:firstLine="720"/>
        <w:jc w:val="both"/>
      </w:pPr>
      <w:r>
        <w:rPr>
          <w:rFonts w:eastAsia="Calibri"/>
          <w:lang w:eastAsia="lt-LT"/>
        </w:rPr>
        <w:t xml:space="preserve">8.9. </w:t>
      </w:r>
      <w:r>
        <w:rPr>
          <w:lang w:eastAsia="lt-LT"/>
        </w:rPr>
        <w:t>kitų gyventojams evakuoti būtinų funkcijų atlikimą savivaldybės teritorijoje.</w:t>
      </w:r>
    </w:p>
    <w:p w:rsidR="002B0161" w:rsidRDefault="001841AC">
      <w:pPr>
        <w:pStyle w:val="Standard"/>
        <w:tabs>
          <w:tab w:val="left" w:pos="1134"/>
        </w:tabs>
        <w:ind w:firstLine="720"/>
        <w:jc w:val="both"/>
      </w:pPr>
      <w:r>
        <w:lastRenderedPageBreak/>
        <w:t xml:space="preserve">9. </w:t>
      </w:r>
      <w:r>
        <w:rPr>
          <w:lang w:eastAsia="lt-LT"/>
        </w:rPr>
        <w:t>Komisija nustatytas funkcijas atlieka per savo ir  kitų savivaldybių ekstremaliųjų situacijų operacijų centrus.</w:t>
      </w:r>
    </w:p>
    <w:p w:rsidR="002B0161" w:rsidRDefault="001841AC">
      <w:pPr>
        <w:pStyle w:val="Standard"/>
        <w:tabs>
          <w:tab w:val="left" w:pos="1134"/>
        </w:tabs>
        <w:ind w:firstLine="720"/>
        <w:jc w:val="both"/>
      </w:pPr>
      <w:r>
        <w:t xml:space="preserve">10. </w:t>
      </w:r>
      <w:r>
        <w:rPr>
          <w:lang w:eastAsia="lt-LT"/>
        </w:rPr>
        <w:t xml:space="preserve">Jeigu įvedus karo padėtį </w:t>
      </w:r>
      <w:r>
        <w:rPr>
          <w:lang w:eastAsia="lt-LT"/>
        </w:rPr>
        <w:t>savivaldybės teritorijoje, iš kurios ar į kurią ketinama evakuoti gyventojus ir</w:t>
      </w:r>
      <w:r>
        <w:rPr>
          <w:b/>
          <w:lang w:eastAsia="lt-LT"/>
        </w:rPr>
        <w:t xml:space="preserve"> </w:t>
      </w:r>
      <w:r>
        <w:rPr>
          <w:lang w:eastAsia="lt-LT"/>
        </w:rPr>
        <w:t>kurioje įkurti tarpiniai gyventojų evakavimo punktai ar per kurią evakuojami gyventojai, Lietuvos Respublikos Seimas sustabdo vietos savivaldos institucijų įgaliojimus arba jos</w:t>
      </w:r>
      <w:r>
        <w:rPr>
          <w:lang w:eastAsia="lt-LT"/>
        </w:rPr>
        <w:t xml:space="preserve"> negali veikti, Komisija atlieka jai nustatytas funkcijas ir tampa tiesiogiai pavaldi karo komendantui.</w:t>
      </w:r>
    </w:p>
    <w:p w:rsidR="002B0161" w:rsidRDefault="001841AC">
      <w:pPr>
        <w:pStyle w:val="Standard"/>
        <w:shd w:val="clear" w:color="auto" w:fill="FFFFFF"/>
        <w:tabs>
          <w:tab w:val="left" w:pos="-4962"/>
        </w:tabs>
        <w:spacing w:line="200" w:lineRule="atLeast"/>
        <w:jc w:val="center"/>
      </w:pPr>
      <w:r>
        <w:t>_________________________</w:t>
      </w:r>
    </w:p>
    <w:sectPr w:rsidR="002B0161">
      <w:headerReference w:type="default" r:id="rId7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AC" w:rsidRDefault="001841AC">
      <w:r>
        <w:separator/>
      </w:r>
    </w:p>
  </w:endnote>
  <w:endnote w:type="continuationSeparator" w:id="0">
    <w:p w:rsidR="001841AC" w:rsidRDefault="0018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AC" w:rsidRDefault="001841AC">
      <w:r>
        <w:rPr>
          <w:color w:val="000000"/>
        </w:rPr>
        <w:separator/>
      </w:r>
    </w:p>
  </w:footnote>
  <w:footnote w:type="continuationSeparator" w:id="0">
    <w:p w:rsidR="001841AC" w:rsidRDefault="0018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F31" w:rsidRDefault="001841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024C7"/>
    <w:multiLevelType w:val="multilevel"/>
    <w:tmpl w:val="4EFA428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A0E3116"/>
    <w:multiLevelType w:val="multilevel"/>
    <w:tmpl w:val="B94C48E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2"/>
      <w:numFmt w:val="upperRoman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B0161"/>
    <w:rsid w:val="001841AC"/>
    <w:rsid w:val="002B0161"/>
    <w:rsid w:val="00E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B6078-F59D-4455-90DA-7FCB73EE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Pr>
      <w:rFonts w:eastAsia="Arial Unicode MS" w:cs="Times New Roman"/>
      <w:lang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Tahoma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user">
    <w:name w:val="Index (user)"/>
    <w:basedOn w:val="Standard"/>
    <w:pPr>
      <w:suppressLineNumbers/>
    </w:pPr>
    <w:rPr>
      <w:rFonts w:cs="Tahoma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beringSymbolsuser">
    <w:name w:val="Numbering Symbols (user)"/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Tuscias</vt:lpstr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Tuscias</dc:title>
  <dc:creator>Aivaras Valantiejus</dc:creator>
  <cp:lastModifiedBy>Milda Bagdonaite</cp:lastModifiedBy>
  <cp:revision>2</cp:revision>
  <cp:lastPrinted>2016-05-19T15:04:00Z</cp:lastPrinted>
  <dcterms:created xsi:type="dcterms:W3CDTF">2016-05-19T13:12:00Z</dcterms:created>
  <dcterms:modified xsi:type="dcterms:W3CDTF">2016-05-19T13:12:00Z</dcterms:modified>
</cp:coreProperties>
</file>