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49" w:rsidRDefault="00925A37">
      <w:pPr>
        <w:pStyle w:val="Textbody"/>
        <w:tabs>
          <w:tab w:val="left" w:pos="1276"/>
        </w:tabs>
        <w:ind w:right="15"/>
        <w:jc w:val="center"/>
      </w:pPr>
      <w:r>
        <w:rPr>
          <w:rStyle w:val="StrongEmphasis"/>
          <w:color w:val="000000"/>
        </w:rPr>
        <w:t>DĖL PANEVĖŽIO RAJONO SAVIVALDYBĖS NEKILNOJAMOJO TURTO IR KITŲ NEKILNOJAMŲJŲ DAIKTŲ PARDAVIMO VIEŠO AUKCIONO ŽIŪROVO BILIETO ĮSIGIJIMO TVARKOS APRAŠO PATVIRTINIMO</w:t>
      </w:r>
    </w:p>
    <w:p w:rsidR="008F4349" w:rsidRDefault="00925A37">
      <w:pPr>
        <w:pStyle w:val="Standard"/>
        <w:jc w:val="center"/>
        <w:rPr>
          <w:color w:val="000000"/>
        </w:rPr>
      </w:pPr>
      <w:r>
        <w:rPr>
          <w:color w:val="000000"/>
        </w:rPr>
        <w:t xml:space="preserve">2015 m. liepos 13 d. Nr. A-753  </w:t>
      </w:r>
    </w:p>
    <w:p w:rsidR="008F4349" w:rsidRDefault="00925A37">
      <w:pPr>
        <w:pStyle w:val="Standard"/>
        <w:jc w:val="center"/>
        <w:rPr>
          <w:color w:val="000000"/>
        </w:rPr>
      </w:pPr>
      <w:r>
        <w:rPr>
          <w:color w:val="000000"/>
        </w:rPr>
        <w:t>Panevėžys</w:t>
      </w:r>
    </w:p>
    <w:p w:rsidR="008F4349" w:rsidRDefault="008F4349">
      <w:pPr>
        <w:pStyle w:val="Standard"/>
        <w:jc w:val="both"/>
        <w:rPr>
          <w:color w:val="000000"/>
        </w:rPr>
      </w:pPr>
    </w:p>
    <w:p w:rsidR="008F4349" w:rsidRDefault="008F4349">
      <w:pPr>
        <w:pStyle w:val="Standard"/>
        <w:jc w:val="both"/>
        <w:rPr>
          <w:color w:val="000000"/>
        </w:rPr>
      </w:pPr>
    </w:p>
    <w:p w:rsidR="008F4349" w:rsidRDefault="00925A37">
      <w:pPr>
        <w:pStyle w:val="Standard"/>
        <w:jc w:val="both"/>
      </w:pPr>
      <w:r>
        <w:tab/>
        <w:t>Vadovaudamasis Lietuvos Respublikos vietos savivaldos įstatymo 29 straipsnio 5 dalimi ir Valstybės ir savivaldybių nekilnojamųjų daiktų pardavimo viešo aukciono būdu tvarkos aprašo, patvirtinto Lietuvos Respublikos Vyriausybės 2014 m. spalio 28 d. nutarimu Nr. 1178, 38 punktu,</w:t>
      </w:r>
    </w:p>
    <w:p w:rsidR="008F4349" w:rsidRDefault="00925A37">
      <w:pPr>
        <w:pStyle w:val="Standard"/>
        <w:jc w:val="both"/>
      </w:pPr>
      <w:r>
        <w:t>t v i r t i n u Panevėžio rajono savivaldybės nekilnojamojo turto ir kitų nekilnojamųjų daiktų pardavimo viešo aukciono žiūrovo bilieto įsigijimo tvarkos aprašą (pridedama).</w:t>
      </w:r>
    </w:p>
    <w:p w:rsidR="008F4349" w:rsidRDefault="008F4349">
      <w:pPr>
        <w:pStyle w:val="Standard"/>
      </w:pPr>
    </w:p>
    <w:p w:rsidR="008F4349" w:rsidRDefault="00925A37">
      <w:pPr>
        <w:pStyle w:val="Standard"/>
      </w:pPr>
      <w:r>
        <w:tab/>
        <w:t>Šis įsakymas gali būti skundžiamas Lietuvos Respublikos administracinių bylų teisenos įstatymo nustatyta tvarka ir terminais.</w:t>
      </w:r>
    </w:p>
    <w:p w:rsidR="008F4349" w:rsidRDefault="00925A37">
      <w:pPr>
        <w:pStyle w:val="Standard"/>
      </w:pPr>
      <w:r>
        <w:t> </w:t>
      </w:r>
    </w:p>
    <w:p w:rsidR="008F4349" w:rsidRDefault="00925A37">
      <w:pPr>
        <w:pStyle w:val="Standard"/>
      </w:pPr>
      <w:r>
        <w:t> </w:t>
      </w:r>
    </w:p>
    <w:p w:rsidR="008F4349" w:rsidRDefault="00925A37">
      <w:pPr>
        <w:pStyle w:val="Standard"/>
      </w:pPr>
      <w:r>
        <w:t> </w:t>
      </w:r>
      <w:r>
        <w:rPr>
          <w:color w:val="000000"/>
        </w:rPr>
        <w:t>Savivaldybės administracijos direktorius</w:t>
      </w:r>
      <w:r>
        <w:rPr>
          <w:color w:val="000000"/>
        </w:rPr>
        <w:tab/>
      </w:r>
      <w:r>
        <w:rPr>
          <w:color w:val="000000"/>
        </w:rPr>
        <w:tab/>
      </w:r>
      <w:r>
        <w:rPr>
          <w:color w:val="000000"/>
        </w:rPr>
        <w:tab/>
      </w:r>
      <w:r>
        <w:rPr>
          <w:color w:val="000000"/>
        </w:rPr>
        <w:tab/>
      </w:r>
      <w:r>
        <w:rPr>
          <w:color w:val="000000"/>
        </w:rPr>
        <w:tab/>
        <w:t xml:space="preserve">     Eugenijus </w:t>
      </w:r>
      <w:proofErr w:type="spellStart"/>
      <w:r>
        <w:rPr>
          <w:color w:val="000000"/>
        </w:rPr>
        <w:t>Lunskis</w:t>
      </w:r>
      <w:proofErr w:type="spellEnd"/>
    </w:p>
    <w:p w:rsidR="008F4349" w:rsidRDefault="008F4349">
      <w:pPr>
        <w:pStyle w:val="Standard"/>
        <w:ind w:left="4820"/>
      </w:pPr>
    </w:p>
    <w:p w:rsidR="008F4349" w:rsidRDefault="008F4349">
      <w:pPr>
        <w:pStyle w:val="Standard"/>
        <w:ind w:left="4820"/>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pPr>
    </w:p>
    <w:p w:rsidR="008F4349" w:rsidRDefault="008F4349">
      <w:pPr>
        <w:pStyle w:val="Standard"/>
        <w:ind w:left="4820"/>
      </w:pPr>
    </w:p>
    <w:p w:rsidR="008F4349" w:rsidRDefault="008F4349">
      <w:pPr>
        <w:pStyle w:val="Standard"/>
        <w:ind w:left="4820"/>
      </w:pPr>
    </w:p>
    <w:p w:rsidR="008F4349" w:rsidRDefault="008F4349">
      <w:pPr>
        <w:pStyle w:val="Standard"/>
        <w:ind w:left="4820"/>
      </w:pPr>
    </w:p>
    <w:p w:rsidR="003B6656" w:rsidRDefault="003B6656">
      <w:pPr>
        <w:pStyle w:val="Standard"/>
        <w:ind w:left="4820"/>
      </w:pPr>
    </w:p>
    <w:p w:rsidR="003B6656" w:rsidRDefault="003B6656">
      <w:pPr>
        <w:pStyle w:val="Standard"/>
        <w:ind w:left="4820"/>
      </w:pPr>
    </w:p>
    <w:p w:rsidR="003B6656" w:rsidRDefault="003B6656">
      <w:pPr>
        <w:pStyle w:val="Standard"/>
        <w:ind w:left="4820"/>
      </w:pPr>
    </w:p>
    <w:p w:rsidR="003B6656" w:rsidRDefault="003B6656">
      <w:pPr>
        <w:pStyle w:val="Standard"/>
        <w:ind w:left="4820"/>
      </w:pPr>
    </w:p>
    <w:p w:rsidR="003B6656" w:rsidRDefault="003B6656">
      <w:pPr>
        <w:pStyle w:val="Standard"/>
        <w:ind w:left="4820"/>
      </w:pPr>
    </w:p>
    <w:p w:rsidR="003B6656" w:rsidRDefault="003B6656">
      <w:pPr>
        <w:pStyle w:val="Standard"/>
        <w:ind w:left="4820"/>
      </w:pPr>
    </w:p>
    <w:p w:rsidR="003B6656" w:rsidRDefault="003B6656">
      <w:pPr>
        <w:pStyle w:val="Standard"/>
        <w:ind w:left="4820"/>
      </w:pPr>
      <w:bookmarkStart w:id="0" w:name="_GoBack"/>
      <w:bookmarkEnd w:id="0"/>
    </w:p>
    <w:p w:rsidR="003B6656" w:rsidRDefault="003B6656">
      <w:pPr>
        <w:pStyle w:val="Standard"/>
        <w:ind w:left="4820"/>
      </w:pPr>
    </w:p>
    <w:p w:rsidR="008F4349" w:rsidRDefault="00925A37">
      <w:pPr>
        <w:pStyle w:val="Standard"/>
      </w:pPr>
      <w:r>
        <w:lastRenderedPageBreak/>
        <w:t xml:space="preserve">                             </w:t>
      </w:r>
      <w:r>
        <w:tab/>
      </w:r>
      <w:r>
        <w:tab/>
      </w:r>
      <w:r>
        <w:tab/>
      </w:r>
      <w:r>
        <w:tab/>
      </w:r>
      <w:r>
        <w:tab/>
      </w:r>
      <w:r>
        <w:tab/>
        <w:t>PATVIRTINTA</w:t>
      </w:r>
    </w:p>
    <w:p w:rsidR="008F4349" w:rsidRDefault="00925A37">
      <w:pPr>
        <w:pStyle w:val="Standard"/>
        <w:ind w:left="4820"/>
      </w:pPr>
      <w:r>
        <w:tab/>
        <w:t xml:space="preserve">  Panevėžio rajono savivaldybės                                                                    </w:t>
      </w:r>
      <w:r>
        <w:tab/>
        <w:t xml:space="preserve">  administracijos direktoriaus</w:t>
      </w:r>
    </w:p>
    <w:p w:rsidR="008F4349" w:rsidRDefault="00925A37">
      <w:pPr>
        <w:pStyle w:val="Standard"/>
        <w:ind w:left="4820"/>
      </w:pPr>
      <w:r>
        <w:t xml:space="preserve">             2015 m. liepos 13 d. įsakymu  Nr. A-753</w:t>
      </w:r>
    </w:p>
    <w:p w:rsidR="008F4349" w:rsidRDefault="008F4349">
      <w:pPr>
        <w:pStyle w:val="Standard"/>
      </w:pPr>
    </w:p>
    <w:p w:rsidR="008F4349" w:rsidRDefault="00925A37">
      <w:pPr>
        <w:pStyle w:val="Standard"/>
        <w:jc w:val="center"/>
        <w:rPr>
          <w:b/>
          <w:bCs/>
        </w:rPr>
      </w:pPr>
      <w:r>
        <w:rPr>
          <w:b/>
          <w:bCs/>
        </w:rPr>
        <w:t>PANEVĖŽIO RAJONO SAVIVALDYBĖS NEKILNOJAMOJO TURTO IR KITŲ NEKILNOJAMŲJŲ DAIKTŲ PARDAVIMO VIEŠO AUKCIONO ŽIŪROVO BILIETO ĮSIGIJIMO TVARKOS APRAŠAS</w:t>
      </w:r>
    </w:p>
    <w:p w:rsidR="008F4349" w:rsidRDefault="008F4349">
      <w:pPr>
        <w:pStyle w:val="Standard"/>
        <w:jc w:val="center"/>
        <w:rPr>
          <w:b/>
          <w:bCs/>
        </w:rPr>
      </w:pPr>
    </w:p>
    <w:p w:rsidR="008F4349" w:rsidRDefault="00925A37">
      <w:pPr>
        <w:pStyle w:val="Standard"/>
        <w:suppressAutoHyphens w:val="0"/>
        <w:spacing w:before="100" w:after="100"/>
        <w:jc w:val="center"/>
        <w:rPr>
          <w:b/>
          <w:bCs/>
          <w:lang w:eastAsia="lt-LT"/>
        </w:rPr>
      </w:pPr>
      <w:r>
        <w:rPr>
          <w:b/>
          <w:bCs/>
          <w:lang w:eastAsia="lt-LT"/>
        </w:rPr>
        <w:t>I. BENDROSIOS NUOSTATOS</w:t>
      </w:r>
    </w:p>
    <w:p w:rsidR="008F4349" w:rsidRDefault="00925A37">
      <w:pPr>
        <w:pStyle w:val="Standard"/>
        <w:suppressAutoHyphens w:val="0"/>
        <w:jc w:val="both"/>
      </w:pPr>
      <w:r>
        <w:rPr>
          <w:b/>
          <w:bCs/>
          <w:lang w:eastAsia="lt-LT"/>
        </w:rPr>
        <w:t> </w:t>
      </w:r>
      <w:r>
        <w:rPr>
          <w:b/>
          <w:bCs/>
          <w:lang w:eastAsia="lt-LT"/>
        </w:rPr>
        <w:tab/>
      </w:r>
      <w:r>
        <w:rPr>
          <w:lang w:eastAsia="lt-LT"/>
        </w:rPr>
        <w:t>1.</w:t>
      </w:r>
      <w:r>
        <w:rPr>
          <w:b/>
          <w:bCs/>
          <w:lang w:eastAsia="lt-LT"/>
        </w:rPr>
        <w:t xml:space="preserve"> </w:t>
      </w:r>
      <w:r>
        <w:rPr>
          <w:bCs/>
          <w:lang w:eastAsia="lt-LT"/>
        </w:rPr>
        <w:t>Panevėžio</w:t>
      </w:r>
      <w:r>
        <w:rPr>
          <w:lang w:eastAsia="lt-LT"/>
        </w:rPr>
        <w:t xml:space="preserve"> rajono savivaldybės nekilnojamųjų daiktų pardavimo viešo aukciono žiūrovo bilieto įsigijimo tvarkos aprašas (toliau</w:t>
      </w:r>
      <w:r>
        <w:rPr>
          <w:color w:val="FF0000"/>
          <w:lang w:eastAsia="lt-LT"/>
        </w:rPr>
        <w:t xml:space="preserve"> </w:t>
      </w:r>
      <w:r>
        <w:rPr>
          <w:lang w:eastAsia="lt-LT"/>
        </w:rPr>
        <w:t>– Aprašas) reglamentuoja Savivaldybės nekilnojamųjų daiktų pardavimo viešo aukciono žiūrovo bilieto įsigijimo, įmokų už bilietus grąžinimo tvarką ir nustato bilietų bei jų registracijos knygos formą.</w:t>
      </w:r>
    </w:p>
    <w:p w:rsidR="008F4349" w:rsidRDefault="00925A37">
      <w:pPr>
        <w:pStyle w:val="Standard"/>
        <w:suppressAutoHyphens w:val="0"/>
        <w:ind w:firstLine="720"/>
        <w:jc w:val="both"/>
      </w:pPr>
      <w:r>
        <w:rPr>
          <w:lang w:eastAsia="lt-LT"/>
        </w:rPr>
        <w:t>2. Aprašas parengtas vadovaujantis Lietuvos Respublikos valstybės ir savivaldybių turto valdymo, naudojimo ir disponavimo juo įstatymu, Valstybės ir savivaldybių nekilnojamųjų daiktų pardavimo viešo aukciono būdu tvarkos aprašu, patvirtintu Lietuvos Respublikos Vyriausybės 2014 m.</w:t>
      </w:r>
      <w:r>
        <w:rPr>
          <w:color w:val="FF0000"/>
          <w:lang w:eastAsia="lt-LT"/>
        </w:rPr>
        <w:t xml:space="preserve"> </w:t>
      </w:r>
      <w:r>
        <w:rPr>
          <w:lang w:eastAsia="lt-LT"/>
        </w:rPr>
        <w:t>spalio 28 d. nutarimu Nr. 1178 „Dėl Valstybės ir savivaldybių nekilnojamųjų daiktų pardavimo viešo aukciono būdu tvarkos aprašo patvirtinimo“.</w:t>
      </w:r>
    </w:p>
    <w:p w:rsidR="008F4349" w:rsidRDefault="008F4349">
      <w:pPr>
        <w:pStyle w:val="Standard"/>
        <w:suppressAutoHyphens w:val="0"/>
        <w:jc w:val="both"/>
        <w:rPr>
          <w:lang w:eastAsia="lt-LT"/>
        </w:rPr>
      </w:pPr>
    </w:p>
    <w:p w:rsidR="008F4349" w:rsidRDefault="00925A37">
      <w:pPr>
        <w:pStyle w:val="Standard"/>
        <w:suppressAutoHyphens w:val="0"/>
        <w:spacing w:before="100" w:after="100"/>
        <w:ind w:firstLine="720"/>
        <w:jc w:val="center"/>
        <w:rPr>
          <w:b/>
          <w:bCs/>
          <w:lang w:eastAsia="lt-LT"/>
        </w:rPr>
      </w:pPr>
      <w:r>
        <w:rPr>
          <w:b/>
          <w:bCs/>
          <w:lang w:eastAsia="lt-LT"/>
        </w:rPr>
        <w:t>II. AUKCIONO ŽIŪROVO BILIETO ĮSIGIJIMO TVARKA</w:t>
      </w:r>
    </w:p>
    <w:p w:rsidR="008F4349" w:rsidRDefault="00925A37">
      <w:pPr>
        <w:pStyle w:val="Standard"/>
        <w:suppressAutoHyphens w:val="0"/>
        <w:ind w:firstLine="720"/>
        <w:jc w:val="both"/>
        <w:rPr>
          <w:lang w:eastAsia="lt-LT"/>
        </w:rPr>
      </w:pPr>
      <w:r>
        <w:rPr>
          <w:lang w:eastAsia="lt-LT"/>
        </w:rPr>
        <w:t>3. Savivaldybės nekilnojamųjų daiktų pardavimo viešą aukcioną (toliau – aukcionas) stebėti gali asmenys, įsigiję aukciono žiūrovo bilietą, kurio forma nustatyta šio aprašo 1 priede.</w:t>
      </w:r>
    </w:p>
    <w:p w:rsidR="008F4349" w:rsidRDefault="00925A37">
      <w:pPr>
        <w:pStyle w:val="Standard"/>
        <w:suppressAutoHyphens w:val="0"/>
        <w:ind w:firstLine="720"/>
        <w:jc w:val="both"/>
        <w:rPr>
          <w:lang w:eastAsia="lt-LT"/>
        </w:rPr>
      </w:pPr>
      <w:r>
        <w:rPr>
          <w:lang w:eastAsia="lt-LT"/>
        </w:rPr>
        <w:t>4. Asmenys, pageidaujantys būti aukciono žiūrovais, privalo įsigyti aukciono žiūrovo bilietą.</w:t>
      </w:r>
    </w:p>
    <w:p w:rsidR="008F4349" w:rsidRDefault="00925A37">
      <w:pPr>
        <w:pStyle w:val="Standard"/>
        <w:suppressAutoHyphens w:val="0"/>
        <w:ind w:firstLine="720"/>
        <w:jc w:val="both"/>
      </w:pPr>
      <w:r>
        <w:rPr>
          <w:lang w:eastAsia="lt-LT"/>
        </w:rPr>
        <w:t>5.</w:t>
      </w:r>
      <w:r>
        <w:rPr>
          <w:sz w:val="23"/>
          <w:szCs w:val="23"/>
          <w:lang w:eastAsia="lt-LT"/>
        </w:rPr>
        <w:t xml:space="preserve"> Asmenys, sumokėję už aukciono žiūrovo bilietą, su apmokėjimą patvirtinančiu dokumentu turi kreiptis į nurodytą atsakingą darbuotoją aukciono dalyvių registracijos metu, kur jiems bus išduoti aukciono žiūrovo bilietai.</w:t>
      </w:r>
    </w:p>
    <w:p w:rsidR="008F4349" w:rsidRDefault="00925A37">
      <w:pPr>
        <w:pStyle w:val="Standard"/>
        <w:suppressAutoHyphens w:val="0"/>
        <w:ind w:firstLine="720"/>
        <w:jc w:val="both"/>
        <w:rPr>
          <w:lang w:eastAsia="lt-LT"/>
        </w:rPr>
      </w:pPr>
      <w:r>
        <w:rPr>
          <w:lang w:eastAsia="lt-LT"/>
        </w:rPr>
        <w:t>6. Vienas žiūrovo bilietas išduodamas tik vienam asmeniui.</w:t>
      </w:r>
    </w:p>
    <w:p w:rsidR="008F4349" w:rsidRDefault="00925A37">
      <w:pPr>
        <w:pStyle w:val="Standard"/>
        <w:suppressAutoHyphens w:val="0"/>
        <w:ind w:firstLine="720"/>
        <w:jc w:val="both"/>
        <w:rPr>
          <w:lang w:eastAsia="lt-LT"/>
        </w:rPr>
      </w:pPr>
      <w:r>
        <w:rPr>
          <w:lang w:eastAsia="lt-LT"/>
        </w:rPr>
        <w:t>7. Kiekvienam aukcionui stebėti įsigyjamas atskiras aukciono žiūrovo bilietas.</w:t>
      </w:r>
    </w:p>
    <w:p w:rsidR="008F4349" w:rsidRDefault="00925A37">
      <w:pPr>
        <w:pStyle w:val="Standard"/>
        <w:suppressAutoHyphens w:val="0"/>
        <w:ind w:firstLine="720"/>
        <w:jc w:val="both"/>
        <w:rPr>
          <w:lang w:eastAsia="lt-LT"/>
        </w:rPr>
      </w:pPr>
      <w:r>
        <w:rPr>
          <w:lang w:eastAsia="lt-LT"/>
        </w:rPr>
        <w:t>8. Žiūrovo bilietas galioja tik jame nurodytam aukcionui.</w:t>
      </w:r>
    </w:p>
    <w:p w:rsidR="008F4349" w:rsidRDefault="00925A37">
      <w:pPr>
        <w:pStyle w:val="Standard"/>
        <w:suppressAutoHyphens w:val="0"/>
        <w:ind w:firstLine="720"/>
        <w:jc w:val="both"/>
        <w:rPr>
          <w:lang w:eastAsia="lt-LT"/>
        </w:rPr>
      </w:pPr>
      <w:r>
        <w:rPr>
          <w:lang w:eastAsia="lt-LT"/>
        </w:rPr>
        <w:t>9. Norint dalyvauti kartojamame nekilnojamojo daikto pardavimo aukcione turi būti įsigyjamas naujas žiūrovo bilietas.</w:t>
      </w:r>
    </w:p>
    <w:p w:rsidR="008F4349" w:rsidRDefault="00925A37">
      <w:pPr>
        <w:pStyle w:val="Standard"/>
        <w:suppressAutoHyphens w:val="0"/>
        <w:ind w:firstLine="720"/>
        <w:jc w:val="both"/>
        <w:rPr>
          <w:lang w:eastAsia="lt-LT"/>
        </w:rPr>
      </w:pPr>
      <w:r>
        <w:rPr>
          <w:lang w:eastAsia="lt-LT"/>
        </w:rPr>
        <w:t>10. Bilietai registruojami registravimo knygoje, kurios forma nustatyta šio aprašo 2 priede.</w:t>
      </w:r>
    </w:p>
    <w:p w:rsidR="008F4349" w:rsidRDefault="00925A37">
      <w:pPr>
        <w:pStyle w:val="Standard"/>
        <w:suppressAutoHyphens w:val="0"/>
        <w:jc w:val="center"/>
        <w:rPr>
          <w:b/>
          <w:bCs/>
          <w:lang w:eastAsia="lt-LT"/>
        </w:rPr>
      </w:pPr>
      <w:r>
        <w:rPr>
          <w:b/>
          <w:bCs/>
          <w:lang w:eastAsia="lt-LT"/>
        </w:rPr>
        <w:t> </w:t>
      </w:r>
    </w:p>
    <w:p w:rsidR="008F4349" w:rsidRDefault="00925A37">
      <w:pPr>
        <w:pStyle w:val="Standard"/>
        <w:suppressAutoHyphens w:val="0"/>
        <w:jc w:val="center"/>
        <w:rPr>
          <w:b/>
          <w:bCs/>
          <w:lang w:eastAsia="lt-LT"/>
        </w:rPr>
      </w:pPr>
      <w:r>
        <w:rPr>
          <w:b/>
          <w:bCs/>
          <w:lang w:eastAsia="lt-LT"/>
        </w:rPr>
        <w:t>III. ĮMOKŲ UŽ BILIETUS GRĄŽINIMO TVARKA</w:t>
      </w:r>
    </w:p>
    <w:p w:rsidR="008F4349" w:rsidRDefault="00925A37">
      <w:pPr>
        <w:pStyle w:val="Standard"/>
        <w:suppressAutoHyphens w:val="0"/>
        <w:jc w:val="center"/>
        <w:rPr>
          <w:b/>
          <w:bCs/>
          <w:lang w:eastAsia="lt-LT"/>
        </w:rPr>
      </w:pPr>
      <w:r>
        <w:rPr>
          <w:b/>
          <w:bCs/>
          <w:lang w:eastAsia="lt-LT"/>
        </w:rPr>
        <w:t> </w:t>
      </w:r>
    </w:p>
    <w:p w:rsidR="008F4349" w:rsidRDefault="00925A37">
      <w:pPr>
        <w:pStyle w:val="Standard"/>
        <w:numPr>
          <w:ilvl w:val="2"/>
          <w:numId w:val="1"/>
        </w:numPr>
        <w:suppressAutoHyphens w:val="0"/>
        <w:ind w:left="0" w:firstLine="720"/>
        <w:jc w:val="both"/>
        <w:rPr>
          <w:lang w:eastAsia="lt-LT"/>
        </w:rPr>
      </w:pPr>
      <w:r>
        <w:rPr>
          <w:lang w:eastAsia="lt-LT"/>
        </w:rPr>
        <w:t>Aukcionui neįvykus, įmoka už žiūrovo bilietą grąžinama ne vėliau, kaip per 5 darbo dienas, gavus aukciono žiūrovo prašymą, kuriame turi būti nurodyti lėšų grąžinimui reikalingi aukciono žiūrovo sąskaitos duomenys.</w:t>
      </w:r>
    </w:p>
    <w:p w:rsidR="008F4349" w:rsidRDefault="00925A37">
      <w:pPr>
        <w:pStyle w:val="Standard"/>
        <w:suppressAutoHyphens w:val="0"/>
        <w:ind w:firstLine="720"/>
        <w:jc w:val="both"/>
        <w:rPr>
          <w:lang w:eastAsia="lt-LT"/>
        </w:rPr>
      </w:pPr>
      <w:r>
        <w:rPr>
          <w:lang w:eastAsia="lt-LT"/>
        </w:rPr>
        <w:t xml:space="preserve">                                             ___________________________</w:t>
      </w:r>
    </w:p>
    <w:p w:rsidR="008F4349" w:rsidRDefault="008F4349">
      <w:pPr>
        <w:pStyle w:val="Standard"/>
        <w:suppressAutoHyphens w:val="0"/>
        <w:ind w:firstLine="720"/>
        <w:jc w:val="both"/>
        <w:rPr>
          <w:lang w:eastAsia="lt-LT"/>
        </w:rPr>
      </w:pPr>
    </w:p>
    <w:p w:rsidR="008F4349" w:rsidRDefault="00925A37">
      <w:pPr>
        <w:pStyle w:val="Standard"/>
        <w:suppressAutoHyphens w:val="0"/>
        <w:ind w:firstLine="720"/>
        <w:jc w:val="both"/>
        <w:rPr>
          <w:lang w:eastAsia="lt-LT"/>
        </w:rPr>
      </w:pPr>
      <w:r>
        <w:rPr>
          <w:lang w:eastAsia="lt-LT"/>
        </w:rPr>
        <w:tab/>
      </w:r>
      <w:r>
        <w:rPr>
          <w:lang w:eastAsia="lt-LT"/>
        </w:rPr>
        <w:tab/>
      </w:r>
      <w:r>
        <w:rPr>
          <w:lang w:eastAsia="lt-LT"/>
        </w:rPr>
        <w:tab/>
      </w:r>
      <w:r>
        <w:rPr>
          <w:lang w:eastAsia="lt-LT"/>
        </w:rPr>
        <w:tab/>
      </w:r>
    </w:p>
    <w:p w:rsidR="008F4349" w:rsidRDefault="008F4349">
      <w:pPr>
        <w:pStyle w:val="Standard"/>
        <w:suppressAutoHyphens w:val="0"/>
        <w:ind w:firstLine="720"/>
        <w:jc w:val="both"/>
        <w:rPr>
          <w:lang w:eastAsia="lt-LT"/>
        </w:rPr>
      </w:pPr>
    </w:p>
    <w:p w:rsidR="008F4349" w:rsidRDefault="008F4349">
      <w:pPr>
        <w:pStyle w:val="Standard"/>
        <w:suppressAutoHyphens w:val="0"/>
        <w:ind w:firstLine="720"/>
        <w:jc w:val="both"/>
        <w:rPr>
          <w:lang w:eastAsia="lt-LT"/>
        </w:rPr>
      </w:pPr>
    </w:p>
    <w:p w:rsidR="008F4349" w:rsidRDefault="008F4349">
      <w:pPr>
        <w:pStyle w:val="Standard"/>
        <w:suppressAutoHyphens w:val="0"/>
        <w:ind w:firstLine="720"/>
        <w:jc w:val="both"/>
        <w:rPr>
          <w:lang w:eastAsia="lt-LT"/>
        </w:rPr>
      </w:pPr>
    </w:p>
    <w:p w:rsidR="008F4349" w:rsidRDefault="00925A37">
      <w:pPr>
        <w:pStyle w:val="Standard"/>
        <w:rPr>
          <w:lang w:eastAsia="lt-LT"/>
        </w:rPr>
      </w:pPr>
      <w:r>
        <w:rPr>
          <w:lang w:eastAsia="lt-LT"/>
        </w:rPr>
        <w:tab/>
      </w:r>
      <w:r>
        <w:rPr>
          <w:lang w:eastAsia="lt-LT"/>
        </w:rPr>
        <w:tab/>
      </w:r>
      <w:r>
        <w:rPr>
          <w:lang w:eastAsia="lt-LT"/>
        </w:rPr>
        <w:tab/>
      </w:r>
      <w:r>
        <w:rPr>
          <w:lang w:eastAsia="lt-LT"/>
        </w:rPr>
        <w:tab/>
      </w:r>
      <w:r>
        <w:rPr>
          <w:lang w:eastAsia="lt-LT"/>
        </w:rPr>
        <w:tab/>
      </w:r>
      <w:r>
        <w:rPr>
          <w:lang w:eastAsia="lt-LT"/>
        </w:rPr>
        <w:tab/>
        <w:t xml:space="preserve">              </w:t>
      </w:r>
    </w:p>
    <w:sectPr w:rsidR="008F4349">
      <w:headerReference w:type="default" r:id="rId7"/>
      <w:headerReference w:type="first" r:id="rId8"/>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83A" w:rsidRDefault="003F383A">
      <w:r>
        <w:separator/>
      </w:r>
    </w:p>
  </w:endnote>
  <w:endnote w:type="continuationSeparator" w:id="0">
    <w:p w:rsidR="003F383A" w:rsidRDefault="003F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83A" w:rsidRDefault="003F383A">
      <w:r>
        <w:rPr>
          <w:color w:val="000000"/>
        </w:rPr>
        <w:separator/>
      </w:r>
    </w:p>
  </w:footnote>
  <w:footnote w:type="continuationSeparator" w:id="0">
    <w:p w:rsidR="003F383A" w:rsidRDefault="003F38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A14" w:rsidRDefault="003F383A">
    <w:pPr>
      <w:pStyle w:val="Antrats"/>
      <w:jc w:val="center"/>
      <w:rPr>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A14" w:rsidRDefault="00925A37">
    <w:pPr>
      <w:pStyle w:val="Antrats"/>
      <w:jc w:val="center"/>
    </w:pPr>
    <w:r>
      <w:object w:dxaOrig="860" w:dyaOrig="1020" w14:anchorId="2C6D6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1" o:title=""/>
        </v:shape>
        <o:OLEObject Type="Embed" ProgID="Unknown" ShapeID="Objektas1" DrawAspect="Content" ObjectID="_1498289503" r:id="rId2"/>
      </w:object>
    </w:r>
  </w:p>
  <w:p w:rsidR="00C87A14" w:rsidRDefault="003F383A">
    <w:pPr>
      <w:pStyle w:val="Antrats"/>
      <w:jc w:val="center"/>
    </w:pPr>
  </w:p>
  <w:p w:rsidR="00C87A14" w:rsidRDefault="003F383A">
    <w:pPr>
      <w:pStyle w:val="Antrats"/>
      <w:jc w:val="center"/>
    </w:pPr>
  </w:p>
  <w:p w:rsidR="00C87A14" w:rsidRDefault="00925A37">
    <w:pPr>
      <w:pStyle w:val="Antrats"/>
      <w:jc w:val="center"/>
      <w:rPr>
        <w:b/>
        <w:sz w:val="28"/>
      </w:rPr>
    </w:pPr>
    <w:r>
      <w:rPr>
        <w:b/>
        <w:sz w:val="28"/>
      </w:rPr>
      <w:t>PANEVĖŽIO RAJONO SAVIVALDYBĖS ADMINISTRACIJOS</w:t>
    </w:r>
  </w:p>
  <w:p w:rsidR="00C87A14" w:rsidRDefault="00925A37">
    <w:pPr>
      <w:pStyle w:val="Antrats"/>
      <w:jc w:val="center"/>
      <w:rPr>
        <w:b/>
        <w:sz w:val="28"/>
      </w:rPr>
    </w:pPr>
    <w:r>
      <w:rPr>
        <w:b/>
        <w:sz w:val="28"/>
      </w:rPr>
      <w:t>DIREKTORIUS</w:t>
    </w:r>
  </w:p>
  <w:p w:rsidR="00C87A14" w:rsidRDefault="003F383A">
    <w:pPr>
      <w:pStyle w:val="Antrats"/>
      <w:jc w:val="center"/>
      <w:rPr>
        <w:b/>
        <w:sz w:val="28"/>
      </w:rPr>
    </w:pPr>
  </w:p>
  <w:p w:rsidR="00C87A14" w:rsidRDefault="00925A37">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386CB0"/>
    <w:multiLevelType w:val="multilevel"/>
    <w:tmpl w:val="D9701CE2"/>
    <w:lvl w:ilvl="0">
      <w:start w:val="1"/>
      <w:numFmt w:val="decimal"/>
      <w:lvlText w:val="%1."/>
      <w:lvlJc w:val="left"/>
      <w:pPr>
        <w:ind w:left="720" w:hanging="360"/>
      </w:pPr>
    </w:lvl>
    <w:lvl w:ilvl="1">
      <w:start w:val="1"/>
      <w:numFmt w:val="decimal"/>
      <w:lvlText w:val="%2."/>
      <w:lvlJc w:val="left"/>
      <w:pPr>
        <w:ind w:left="1080" w:hanging="360"/>
      </w:pPr>
    </w:lvl>
    <w:lvl w:ilvl="2">
      <w:start w:val="1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349"/>
    <w:rsid w:val="003B6656"/>
    <w:rsid w:val="003C5948"/>
    <w:rsid w:val="003F383A"/>
    <w:rsid w:val="00730A49"/>
    <w:rsid w:val="008F4349"/>
    <w:rsid w:val="00925A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2BB0C-E2C9-494B-9196-EA96D280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lt-L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Pavadinimas">
    <w:name w:val="Title"/>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ntrats">
    <w:name w:val="header"/>
    <w:basedOn w:val="Standard"/>
    <w:pPr>
      <w:suppressLineNumbers/>
      <w:tabs>
        <w:tab w:val="center" w:pos="4819"/>
        <w:tab w:val="right" w:pos="9638"/>
      </w:tabs>
    </w:pPr>
  </w:style>
  <w:style w:type="character" w:customStyle="1" w:styleId="NumberingSymbols">
    <w:name w:val="Numbering Symbols"/>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2139</Words>
  <Characters>1220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Gaidytė</dc:creator>
  <cp:lastModifiedBy>Milda Bagdonaite</cp:lastModifiedBy>
  <cp:revision>4</cp:revision>
  <cp:lastPrinted>2015-07-10T10:09:00Z</cp:lastPrinted>
  <dcterms:created xsi:type="dcterms:W3CDTF">2015-07-13T07:45:00Z</dcterms:created>
  <dcterms:modified xsi:type="dcterms:W3CDTF">2015-07-13T07:45:00Z</dcterms:modified>
</cp:coreProperties>
</file>