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EA" w:rsidRDefault="006E2005">
      <w:pPr>
        <w:jc w:val="center"/>
        <w:rPr>
          <w:b/>
          <w:sz w:val="24"/>
        </w:rPr>
      </w:pPr>
      <w:r w:rsidRPr="006E2005">
        <w:rPr>
          <w:b/>
          <w:sz w:val="24"/>
        </w:rPr>
        <w:t xml:space="preserve">DĖL </w:t>
      </w:r>
      <w:r w:rsidR="00AF4263">
        <w:rPr>
          <w:b/>
          <w:sz w:val="24"/>
        </w:rPr>
        <w:t>PANEVĖŽIO RAJONO SAVIVALDYBĖS ADMINISTRACIJOS DIREKTORIAUS  2015 M. SAUSIO 27 D. ĮSAKYMO NR. A-83 „DĖL PANEVĖŽIO RAJONO SAVIVALDYBĖS ADMINISTRACIJOS BIUDŽETO IŠLAIDŲ VALSTYBĖS PERDUOTOMS SAVIVALDYBĖMS FUNKCIJOMS ATLIKTI PLANAVIMO IR APSKAITOS TVARKOS APRAŠO PATVIRTINIMO“ PAKEITIMO</w:t>
      </w:r>
    </w:p>
    <w:p w:rsidR="006E2005" w:rsidRDefault="006E2005">
      <w:pPr>
        <w:jc w:val="center"/>
        <w:rPr>
          <w:b/>
          <w:sz w:val="24"/>
        </w:rPr>
      </w:pPr>
    </w:p>
    <w:p w:rsidR="006E2005" w:rsidRPr="006E2005" w:rsidRDefault="006E2005">
      <w:pPr>
        <w:jc w:val="center"/>
        <w:rPr>
          <w:b/>
          <w:sz w:val="24"/>
        </w:rPr>
      </w:pPr>
    </w:p>
    <w:p w:rsidR="001D70EA" w:rsidRPr="006E2005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20</w:t>
      </w:r>
      <w:r w:rsidR="00AF4263">
        <w:rPr>
          <w:sz w:val="24"/>
          <w:szCs w:val="24"/>
        </w:rPr>
        <w:t>15</w:t>
      </w:r>
      <w:r w:rsidRPr="006E2005">
        <w:rPr>
          <w:sz w:val="24"/>
          <w:szCs w:val="24"/>
        </w:rPr>
        <w:t xml:space="preserve"> m.</w:t>
      </w:r>
      <w:r w:rsidR="00AF4263">
        <w:rPr>
          <w:sz w:val="24"/>
          <w:szCs w:val="24"/>
        </w:rPr>
        <w:t xml:space="preserve"> balandžio  </w:t>
      </w:r>
      <w:r w:rsidR="007E09E5">
        <w:rPr>
          <w:sz w:val="24"/>
          <w:szCs w:val="24"/>
        </w:rPr>
        <w:t>17</w:t>
      </w:r>
      <w:r w:rsidRPr="006E2005">
        <w:rPr>
          <w:sz w:val="24"/>
          <w:szCs w:val="24"/>
        </w:rPr>
        <w:t xml:space="preserve"> d. Nr.</w:t>
      </w:r>
      <w:r w:rsidR="007E09E5">
        <w:rPr>
          <w:sz w:val="24"/>
          <w:szCs w:val="24"/>
        </w:rPr>
        <w:t xml:space="preserve"> A-430</w:t>
      </w:r>
    </w:p>
    <w:p w:rsidR="001D70EA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AF4263" w:rsidRDefault="00AF4263" w:rsidP="00AF4263">
      <w:pPr>
        <w:rPr>
          <w:sz w:val="24"/>
          <w:szCs w:val="24"/>
        </w:rPr>
      </w:pPr>
    </w:p>
    <w:p w:rsidR="00AF4263" w:rsidRDefault="00AF4263" w:rsidP="00AF4263">
      <w:pPr>
        <w:rPr>
          <w:sz w:val="24"/>
          <w:szCs w:val="24"/>
        </w:rPr>
      </w:pPr>
    </w:p>
    <w:p w:rsidR="00AF4263" w:rsidRDefault="00AF4263" w:rsidP="00AF4263">
      <w:pPr>
        <w:rPr>
          <w:sz w:val="24"/>
          <w:szCs w:val="24"/>
        </w:rPr>
      </w:pPr>
      <w:r>
        <w:rPr>
          <w:sz w:val="24"/>
          <w:szCs w:val="24"/>
        </w:rPr>
        <w:tab/>
        <w:t>Vadovaudamasis Lietuvos Respublikos vietos savivaldos įstatymo 18 straipsnio 1 dalimi,</w:t>
      </w:r>
    </w:p>
    <w:p w:rsidR="007A3826" w:rsidRDefault="007A3826" w:rsidP="007A3826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P a k e i č i u Panevėžio rajono savivaldybės administracijos biudžeto išlaidų valstybės perduotoms savivaldybėms funkcijoms atlikti planavimo ir apskaitos tvarkos aprašą, patvirtintą savivaldybės administracijos direktoriaus 2015 m. sausio    27 d. įsakymu Nr. A-83 „Dėl Panevėžio rajono savivaldybės administracijos biudžeto išlaidų valstybės perduotoms savivaldybėms funkcijoms atlikti planavimo ir apskaitos tvarkos aprašo patvirtinimo“:</w:t>
      </w:r>
    </w:p>
    <w:p w:rsidR="0000392C" w:rsidRDefault="0000392C" w:rsidP="0000392C">
      <w:pPr>
        <w:numPr>
          <w:ilvl w:val="1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Pakeičiu 10.3.1 punktą ir išdėstau taip:</w:t>
      </w:r>
    </w:p>
    <w:p w:rsidR="0000392C" w:rsidRDefault="004E2C8F" w:rsidP="001F39BC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„10.3.1</w:t>
      </w:r>
      <w:r w:rsidR="0000392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00392C">
        <w:rPr>
          <w:sz w:val="24"/>
          <w:szCs w:val="24"/>
        </w:rPr>
        <w:t>arbo užmokestis ir įmokos socialiniam draudimui 1,6 etat</w:t>
      </w:r>
      <w:r w:rsidR="00ED1400">
        <w:rPr>
          <w:sz w:val="24"/>
          <w:szCs w:val="24"/>
        </w:rPr>
        <w:t>o</w:t>
      </w:r>
      <w:r w:rsidR="0000392C">
        <w:rPr>
          <w:sz w:val="24"/>
          <w:szCs w:val="24"/>
        </w:rPr>
        <w:t xml:space="preserve"> darbuotojų, </w:t>
      </w:r>
      <w:r w:rsidR="001F39BC">
        <w:rPr>
          <w:sz w:val="24"/>
          <w:szCs w:val="24"/>
        </w:rPr>
        <w:t xml:space="preserve">atliekančių archyvinių dokumentų, perduotų savivaldybėms likviduotų nevalstybinių organizacijų ir privačių juridinių asmenų veiklos, saugojimo, tvarkymo  funkciją, </w:t>
      </w:r>
      <w:r w:rsidR="0000392C">
        <w:rPr>
          <w:sz w:val="24"/>
          <w:szCs w:val="24"/>
        </w:rPr>
        <w:t>dirbančių pagal darbo sutartis</w:t>
      </w:r>
      <w:r w:rsidR="001F39BC">
        <w:rPr>
          <w:sz w:val="24"/>
          <w:szCs w:val="24"/>
        </w:rPr>
        <w:t>.“</w:t>
      </w:r>
    </w:p>
    <w:p w:rsidR="00253016" w:rsidRDefault="00253016" w:rsidP="00253016">
      <w:pPr>
        <w:numPr>
          <w:ilvl w:val="1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Papildau 21.5 punktu ir jį išdėstau taip:</w:t>
      </w:r>
    </w:p>
    <w:p w:rsidR="00253016" w:rsidRDefault="00253016" w:rsidP="00253016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„21.5. Savivaldybės administracijos padalini</w:t>
      </w:r>
      <w:r w:rsidR="008F70A5">
        <w:rPr>
          <w:sz w:val="24"/>
          <w:szCs w:val="24"/>
        </w:rPr>
        <w:t>ų</w:t>
      </w:r>
      <w:r>
        <w:rPr>
          <w:sz w:val="24"/>
          <w:szCs w:val="24"/>
        </w:rPr>
        <w:t xml:space="preserve"> (</w:t>
      </w:r>
      <w:r w:rsidR="008F70A5">
        <w:rPr>
          <w:sz w:val="24"/>
          <w:szCs w:val="24"/>
        </w:rPr>
        <w:t>seniūnijų seniūnai</w:t>
      </w:r>
      <w:r>
        <w:rPr>
          <w:sz w:val="24"/>
          <w:szCs w:val="24"/>
        </w:rPr>
        <w:t>), įgyvendinantys aktyvios darbo rinkos politikos priemonę</w:t>
      </w:r>
      <w:r w:rsidR="008F70A5">
        <w:rPr>
          <w:sz w:val="24"/>
          <w:szCs w:val="24"/>
        </w:rPr>
        <w:t xml:space="preserve">  ̶  remiamasis įdarbinimas </w:t>
      </w:r>
      <w:r>
        <w:rPr>
          <w:sz w:val="24"/>
          <w:szCs w:val="24"/>
        </w:rPr>
        <w:t xml:space="preserve"> </w:t>
      </w:r>
      <w:r w:rsidR="008F70A5">
        <w:rPr>
          <w:sz w:val="24"/>
          <w:szCs w:val="24"/>
        </w:rPr>
        <w:t>(</w:t>
      </w:r>
      <w:r>
        <w:rPr>
          <w:sz w:val="24"/>
          <w:szCs w:val="24"/>
        </w:rPr>
        <w:t>viešieji darbai</w:t>
      </w:r>
      <w:r w:rsidR="008F70A5">
        <w:rPr>
          <w:sz w:val="24"/>
          <w:szCs w:val="24"/>
        </w:rPr>
        <w:t>)</w:t>
      </w:r>
      <w:r>
        <w:rPr>
          <w:sz w:val="24"/>
          <w:szCs w:val="24"/>
        </w:rPr>
        <w:t>, organizuoja laikino pobūdžio darbus, teikiančius socialinę naudą vietos bendruomenėms, skirtus padėti palaikyti ir (ar) plėtoti vietos bendruomen</w:t>
      </w:r>
      <w:r w:rsidR="008F70A5">
        <w:rPr>
          <w:sz w:val="24"/>
          <w:szCs w:val="24"/>
        </w:rPr>
        <w:t xml:space="preserve">ių socialinę infrastruktūrą, pasibaigus ataskaitinių metų kalendoriniam  mėnesiui, iki  kito einamojo mėnesio 5 dienos, pateikia Apskaitos skyriui </w:t>
      </w:r>
      <w:r w:rsidR="00B9250C">
        <w:rPr>
          <w:sz w:val="24"/>
          <w:szCs w:val="24"/>
        </w:rPr>
        <w:t>a</w:t>
      </w:r>
      <w:r w:rsidR="008F70A5">
        <w:rPr>
          <w:sz w:val="24"/>
          <w:szCs w:val="24"/>
        </w:rPr>
        <w:t>tliktų viešųjų darbų aprašymą</w:t>
      </w:r>
      <w:r w:rsidR="00B9250C">
        <w:rPr>
          <w:sz w:val="24"/>
          <w:szCs w:val="24"/>
        </w:rPr>
        <w:t xml:space="preserve"> (1 priedas)“.</w:t>
      </w:r>
    </w:p>
    <w:p w:rsidR="001F39BC" w:rsidRDefault="001F39BC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1F39BC" w:rsidRDefault="001F39BC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1F39BC" w:rsidRDefault="001F39BC" w:rsidP="001F39BC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 w:rsidR="00300238">
        <w:rPr>
          <w:sz w:val="24"/>
          <w:szCs w:val="24"/>
        </w:rPr>
        <w:tab/>
      </w:r>
      <w:r w:rsidR="00300238">
        <w:rPr>
          <w:sz w:val="24"/>
          <w:szCs w:val="24"/>
        </w:rPr>
        <w:tab/>
      </w:r>
      <w:r w:rsidR="00300238">
        <w:rPr>
          <w:sz w:val="24"/>
          <w:szCs w:val="24"/>
        </w:rPr>
        <w:tab/>
      </w:r>
      <w:r w:rsidR="00300238">
        <w:rPr>
          <w:sz w:val="24"/>
          <w:szCs w:val="24"/>
        </w:rPr>
        <w:tab/>
      </w:r>
      <w:r w:rsidR="00300238">
        <w:rPr>
          <w:sz w:val="24"/>
          <w:szCs w:val="24"/>
        </w:rPr>
        <w:tab/>
      </w:r>
      <w:r w:rsidR="00300238">
        <w:rPr>
          <w:sz w:val="24"/>
          <w:szCs w:val="24"/>
        </w:rPr>
        <w:tab/>
      </w:r>
      <w:r w:rsidR="00300238">
        <w:rPr>
          <w:sz w:val="24"/>
          <w:szCs w:val="24"/>
        </w:rPr>
        <w:tab/>
      </w:r>
      <w:r w:rsidR="00300238">
        <w:rPr>
          <w:sz w:val="24"/>
          <w:szCs w:val="24"/>
        </w:rPr>
        <w:tab/>
        <w:t>Vitalijus Žiurlys</w:t>
      </w:r>
    </w:p>
    <w:p w:rsidR="00986D2D" w:rsidRDefault="00986D2D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986D2D" w:rsidRDefault="00986D2D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986D2D" w:rsidRDefault="00986D2D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986D2D" w:rsidRDefault="00986D2D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986D2D" w:rsidRDefault="00986D2D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986D2D" w:rsidRDefault="00986D2D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986D2D" w:rsidRDefault="00986D2D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C44D9C" w:rsidRDefault="00C44D9C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7E09E5" w:rsidRDefault="007E09E5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7E09E5" w:rsidRDefault="007E09E5" w:rsidP="001F39BC">
      <w:pPr>
        <w:tabs>
          <w:tab w:val="left" w:pos="993"/>
        </w:tabs>
        <w:jc w:val="both"/>
        <w:rPr>
          <w:sz w:val="24"/>
          <w:szCs w:val="24"/>
        </w:rPr>
      </w:pPr>
    </w:p>
    <w:p w:rsidR="007E09E5" w:rsidRDefault="007E09E5" w:rsidP="001F39BC">
      <w:pPr>
        <w:tabs>
          <w:tab w:val="left" w:pos="993"/>
        </w:tabs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10500" w:type="dxa"/>
        <w:tblInd w:w="108" w:type="dxa"/>
        <w:tblLook w:val="04A0" w:firstRow="1" w:lastRow="0" w:firstColumn="1" w:lastColumn="0" w:noHBand="0" w:noVBand="1"/>
      </w:tblPr>
      <w:tblGrid>
        <w:gridCol w:w="236"/>
        <w:gridCol w:w="670"/>
        <w:gridCol w:w="960"/>
        <w:gridCol w:w="1203"/>
        <w:gridCol w:w="960"/>
        <w:gridCol w:w="791"/>
        <w:gridCol w:w="1242"/>
        <w:gridCol w:w="1716"/>
        <w:gridCol w:w="1551"/>
        <w:gridCol w:w="1171"/>
      </w:tblGrid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4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PATVIRTINTA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4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Panevėžio rajono savivaldybės administracijos</w:t>
            </w:r>
            <w:r w:rsidRPr="00555344">
              <w:rPr>
                <w:color w:val="000000"/>
                <w:sz w:val="24"/>
                <w:szCs w:val="24"/>
                <w:lang w:eastAsia="lt-LT"/>
              </w:rPr>
              <w:t xml:space="preserve"> direktoriaus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5553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 xml:space="preserve"> 2015 m. balandžio </w:t>
            </w:r>
            <w:r w:rsidR="007E09E5">
              <w:rPr>
                <w:color w:val="000000"/>
                <w:sz w:val="24"/>
                <w:szCs w:val="24"/>
                <w:lang w:eastAsia="lt-LT"/>
              </w:rPr>
              <w:t>17</w:t>
            </w:r>
            <w:r w:rsidRPr="00BD5144">
              <w:rPr>
                <w:color w:val="000000"/>
                <w:sz w:val="24"/>
                <w:szCs w:val="24"/>
                <w:lang w:eastAsia="lt-LT"/>
              </w:rPr>
              <w:t xml:space="preserve">  d. </w:t>
            </w:r>
            <w:r w:rsidRPr="00555344">
              <w:rPr>
                <w:color w:val="000000"/>
                <w:sz w:val="24"/>
                <w:szCs w:val="24"/>
                <w:lang w:eastAsia="lt-LT"/>
              </w:rPr>
              <w:t>įsakymu Nr. A-</w:t>
            </w:r>
            <w:r w:rsidR="007E09E5">
              <w:rPr>
                <w:color w:val="000000"/>
                <w:sz w:val="24"/>
                <w:szCs w:val="24"/>
                <w:lang w:eastAsia="lt-LT"/>
              </w:rPr>
              <w:t>430</w:t>
            </w:r>
          </w:p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priedas</w:t>
            </w: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</w:tr>
      <w:tr w:rsidR="00C44D9C" w:rsidRPr="00BD5144" w:rsidTr="0011163D">
        <w:trPr>
          <w:trHeight w:val="315"/>
        </w:trPr>
        <w:tc>
          <w:tcPr>
            <w:tcW w:w="9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RAJONO SAVIVALDYBĖS ADMINISTRACIJA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84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84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(padalinio pavadinimas)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lang w:eastAsia="lt-L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lang w:eastAsia="lt-L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lang w:eastAsia="lt-LT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lang w:eastAsia="lt-L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lang w:eastAsia="lt-L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lang w:eastAsia="lt-LT"/>
              </w:rPr>
            </w:pPr>
          </w:p>
        </w:tc>
      </w:tr>
      <w:tr w:rsidR="00C44D9C" w:rsidRPr="00BD5144" w:rsidTr="0011163D">
        <w:trPr>
          <w:trHeight w:val="315"/>
        </w:trPr>
        <w:tc>
          <w:tcPr>
            <w:tcW w:w="9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b/>
                <w:bCs/>
                <w:color w:val="000000"/>
                <w:sz w:val="24"/>
                <w:szCs w:val="24"/>
                <w:lang w:eastAsia="lt-LT"/>
              </w:rPr>
              <w:t>ATLIKTŲ VIEŠŲJŲ DARBŲ APRAŠYMAS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84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 xml:space="preserve">20      m.                 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   </w:t>
            </w:r>
            <w:r w:rsidRPr="00BD5144">
              <w:rPr>
                <w:color w:val="000000"/>
                <w:sz w:val="24"/>
                <w:szCs w:val="24"/>
                <w:lang w:eastAsia="lt-LT"/>
              </w:rPr>
              <w:t xml:space="preserve">  mėn.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(Data)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lang w:eastAsia="lt-LT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Panevėžys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lang w:eastAsia="lt-L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</w:tr>
      <w:tr w:rsidR="00C44D9C" w:rsidRPr="00BD5144" w:rsidTr="00CB04DD">
        <w:trPr>
          <w:trHeight w:val="9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Eil.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D5144">
              <w:rPr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Darbų pavadinimas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Sugaištas laikas valandomis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Atlikta darbų natūriniais dydžiais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  <w:r w:rsidRPr="00BD5144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</w:tr>
      <w:tr w:rsidR="00C44D9C" w:rsidRPr="00BD5144" w:rsidTr="00CB04D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D9C" w:rsidRPr="00BD5144" w:rsidRDefault="00C44D9C" w:rsidP="0011163D">
            <w:pPr>
              <w:rPr>
                <w:lang w:eastAsia="lt-LT"/>
              </w:rPr>
            </w:pPr>
          </w:p>
        </w:tc>
      </w:tr>
    </w:tbl>
    <w:p w:rsidR="00CB04DD" w:rsidRDefault="00CB04DD" w:rsidP="00CB04DD">
      <w:pPr>
        <w:tabs>
          <w:tab w:val="left" w:pos="993"/>
        </w:tabs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      </w:t>
      </w:r>
      <w:r w:rsidRPr="00BD5144">
        <w:rPr>
          <w:color w:val="000000"/>
          <w:sz w:val="24"/>
          <w:szCs w:val="24"/>
          <w:lang w:eastAsia="lt-LT"/>
        </w:rPr>
        <w:t>Darbus priėmė</w:t>
      </w:r>
    </w:p>
    <w:p w:rsidR="00CB04DD" w:rsidRDefault="00CB04DD" w:rsidP="00CB04DD">
      <w:pPr>
        <w:tabs>
          <w:tab w:val="left" w:pos="993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                                (Pareigos)                      (parašas)                             (vardas, pavardė)</w:t>
      </w:r>
    </w:p>
    <w:sectPr w:rsidR="00CB04DD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8B4" w:rsidRDefault="00E118B4">
      <w:r>
        <w:separator/>
      </w:r>
    </w:p>
  </w:endnote>
  <w:endnote w:type="continuationSeparator" w:id="0">
    <w:p w:rsidR="00E118B4" w:rsidRDefault="00E1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70EA" w:rsidRDefault="001D70E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8B4" w:rsidRDefault="00E118B4">
      <w:r>
        <w:separator/>
      </w:r>
    </w:p>
  </w:footnote>
  <w:footnote w:type="continuationSeparator" w:id="0">
    <w:p w:rsidR="00E118B4" w:rsidRDefault="00E11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D70EA" w:rsidRDefault="001D70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05" w:rsidRDefault="006E2005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91197247" r:id="rId2"/>
      </w:object>
    </w:r>
  </w:p>
  <w:p w:rsidR="006E2005" w:rsidRDefault="006E2005" w:rsidP="006E2005">
    <w:pPr>
      <w:pStyle w:val="Antrats"/>
      <w:jc w:val="center"/>
    </w:pPr>
  </w:p>
  <w:p w:rsidR="006E2005" w:rsidRDefault="006E2005" w:rsidP="006E2005">
    <w:pPr>
      <w:pStyle w:val="Antrats"/>
      <w:jc w:val="center"/>
    </w:pPr>
  </w:p>
  <w:p w:rsidR="006E2005" w:rsidRDefault="006E2005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6E2005" w:rsidRDefault="006E2005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6E2005" w:rsidRDefault="006E2005" w:rsidP="006E2005">
    <w:pPr>
      <w:pStyle w:val="Antrats"/>
      <w:jc w:val="center"/>
      <w:rPr>
        <w:b/>
        <w:sz w:val="28"/>
      </w:rPr>
    </w:pPr>
  </w:p>
  <w:p w:rsidR="006E2005" w:rsidRDefault="006E2005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861E7"/>
    <w:multiLevelType w:val="multilevel"/>
    <w:tmpl w:val="035C18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63"/>
    <w:rsid w:val="0000392C"/>
    <w:rsid w:val="0011163D"/>
    <w:rsid w:val="00163759"/>
    <w:rsid w:val="001D70EA"/>
    <w:rsid w:val="001F39BC"/>
    <w:rsid w:val="00253016"/>
    <w:rsid w:val="002C2A77"/>
    <w:rsid w:val="00300238"/>
    <w:rsid w:val="0036362F"/>
    <w:rsid w:val="004D3B0F"/>
    <w:rsid w:val="004E2C8F"/>
    <w:rsid w:val="00617BC4"/>
    <w:rsid w:val="006E2005"/>
    <w:rsid w:val="007A3735"/>
    <w:rsid w:val="007A3826"/>
    <w:rsid w:val="007E09E5"/>
    <w:rsid w:val="008A3E80"/>
    <w:rsid w:val="008F70A5"/>
    <w:rsid w:val="00925779"/>
    <w:rsid w:val="00986D2D"/>
    <w:rsid w:val="00AF4263"/>
    <w:rsid w:val="00B55858"/>
    <w:rsid w:val="00B90202"/>
    <w:rsid w:val="00B9250C"/>
    <w:rsid w:val="00C44D9C"/>
    <w:rsid w:val="00C92C84"/>
    <w:rsid w:val="00CB04DD"/>
    <w:rsid w:val="00D30916"/>
    <w:rsid w:val="00D35578"/>
    <w:rsid w:val="00E118B4"/>
    <w:rsid w:val="00ED1400"/>
    <w:rsid w:val="00F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BDE77C-B48C-4AAC-BF8E-EF7CA578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CB04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CB04D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va.gedmantiene\Desktop\paskut.firminiai%20dokument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42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Ieva Gedmantiene</dc:creator>
  <cp:keywords/>
  <cp:lastModifiedBy>Ieva Gedmantiene</cp:lastModifiedBy>
  <cp:revision>8</cp:revision>
  <cp:lastPrinted>2015-04-16T06:01:00Z</cp:lastPrinted>
  <dcterms:created xsi:type="dcterms:W3CDTF">2015-04-15T14:40:00Z</dcterms:created>
  <dcterms:modified xsi:type="dcterms:W3CDTF">2015-04-22T05:41:00Z</dcterms:modified>
</cp:coreProperties>
</file>