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  <w:rPr/>
      </w:pPr>
      <w:r>
        <w:rPr/>
      </w:r>
    </w:p>
    <w:p>
      <w:pPr>
        <w:sectPr>
          <w:headerReference r:id="rId2" w:type="default"/>
          <w:type w:val="nextPage"/>
          <w:pgSz w:h="16838" w:w="11906"/>
          <w:pgMar w:bottom="1134" w:footer="0" w:gutter="0" w:header="0" w:left="1276" w:right="567" w:top="1134"/>
          <w:pgNumType w:fmt="decimal"/>
          <w:formProt w:val="false"/>
          <w:textDirection w:val="lrTb"/>
          <w:docGrid w:charSpace="0" w:linePitch="360" w:type="default"/>
        </w:sectPr>
        <w:pStyle w:val="style45"/>
        <w:rPr/>
      </w:pPr>
      <w:r>
        <w:rPr/>
      </w:r>
    </w:p>
    <w:p>
      <w:pPr>
        <w:pStyle w:val="style45"/>
        <w:rPr/>
      </w:pPr>
      <w:r>
        <w:rPr/>
        <w:t>DĖL DUOMENŲ APIE NUMERIŲ ADRESŲ OBJEKTAMS SUTEIKIMĄ PATVIRTINIMO</w:t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2014 m. vasario     d. Nr. A- </w:t>
      </w:r>
    </w:p>
    <w:p>
      <w:pPr>
        <w:pStyle w:val="style0"/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ind w:end="0" w:firstLine="1134" w:start="0"/>
        <w:jc w:val="both"/>
        <w:rPr>
          <w:sz w:val="24"/>
        </w:rPr>
      </w:pPr>
      <w:r>
        <w:rPr>
          <w:sz w:val="24"/>
        </w:rPr>
        <w:tab/>
      </w:r>
    </w:p>
    <w:p>
      <w:pPr>
        <w:pStyle w:val="style51"/>
        <w:jc w:val="both"/>
        <w:rPr/>
      </w:pPr>
      <w:r>
        <w:rPr/>
        <w:t>Vadovaudamasis Numerių pastatams, patalpoms ir butams suteikimo, keitimo ir apskaitos tvarkos aprašu, patvirtintu Lietuvos Respublikos vidaus reikalų ministro 2011 m. sausio 25 d. įsakymu Nr. 1V-57,</w:t>
      </w:r>
    </w:p>
    <w:p>
      <w:pPr>
        <w:pStyle w:val="style51"/>
        <w:jc w:val="both"/>
        <w:rPr/>
      </w:pPr>
      <w:r>
        <w:rPr/>
        <w:t xml:space="preserve">t v i r t i n u duomenis apie numerių adresų objektams suteikimą (1, 2, 3, 4, 5,                6, 7, 8, 9, 10, </w:t>
      </w:r>
      <w:r>
        <w:rPr/>
        <w:t>11, 12</w:t>
      </w:r>
      <w:r>
        <w:rPr/>
        <w:t xml:space="preserve"> priedai).</w:t>
      </w:r>
    </w:p>
    <w:p>
      <w:pPr>
        <w:pStyle w:val="style51"/>
        <w:jc w:val="both"/>
        <w:rPr/>
      </w:pPr>
      <w:r>
        <w:rPr/>
      </w:r>
    </w:p>
    <w:p>
      <w:pPr>
        <w:pStyle w:val="style54"/>
        <w:spacing w:after="0" w:before="0"/>
        <w:ind w:end="0" w:firstLine="1134" w:start="0"/>
        <w:contextualSpacing w:val="false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0"/>
        </w:rPr>
        <w:t>Administracijos direktorius</w:t>
        <w:tab/>
        <w:tab/>
        <w:tab/>
        <w:tab/>
        <w:tab/>
        <w:tab/>
        <w:tab/>
        <w:tab/>
        <w:t>Vitalijus Žiurlys</w:t>
      </w:r>
      <w:r>
        <w:rPr>
          <w:sz w:val="24"/>
          <w:szCs w:val="24"/>
        </w:rPr>
        <w:t xml:space="preserve">                  </w:t>
        <w:tab/>
        <w:tab/>
        <w:tab/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characterSet="windows-1257" w:val="ba"/>
    <w:family w:val="roman"/>
    <w:pitch w:val="variable"/>
  </w:font>
  <w:font w:name="Tahoma">
    <w:charset w:characterSet="windows-1257"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pPr>
    <w:r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PANEVĖŽIO RAJONO SAVIVALDYBĖS</w:t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ADMINISTRACIJOS DIREKTORIUS</w:t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ind w:hanging="432" w:start="432"/>
      </w:pPr>
      <w:rPr/>
    </w:lvl>
    <w:lvl w:ilvl="1">
      <w:start w:val="1"/>
      <w:numFmt w:val="none"/>
      <w:suff w:val="nothing"/>
      <w:lvlText w:val=""/>
      <w:lvlJc w:val="start"/>
      <w:pPr>
        <w:ind w:hanging="576" w:start="576"/>
      </w:pPr>
      <w:rPr/>
    </w:lvl>
    <w:lvl w:ilvl="2">
      <w:start w:val="1"/>
      <w:numFmt w:val="none"/>
      <w:suff w:val="nothing"/>
      <w:lvlText w:val=""/>
      <w:lvlJc w:val="start"/>
      <w:pPr>
        <w:ind w:hanging="720" w:start="720"/>
      </w:pPr>
      <w:rPr/>
    </w:lvl>
    <w:lvl w:ilvl="3">
      <w:start w:val="1"/>
      <w:numFmt w:val="none"/>
      <w:suff w:val="nothing"/>
      <w:lvlText w:val=""/>
      <w:lvlJc w:val="start"/>
      <w:pPr>
        <w:ind w:hanging="864" w:start="864"/>
      </w:pPr>
      <w:rPr/>
    </w:lvl>
    <w:lvl w:ilvl="4">
      <w:start w:val="1"/>
      <w:numFmt w:val="none"/>
      <w:suff w:val="nothing"/>
      <w:lvlText w:val=""/>
      <w:lvlJc w:val="start"/>
      <w:pPr>
        <w:ind w:hanging="1008" w:start="1008"/>
      </w:pPr>
      <w:rPr/>
    </w:lvl>
    <w:lvl w:ilvl="5">
      <w:start w:val="1"/>
      <w:numFmt w:val="none"/>
      <w:suff w:val="nothing"/>
      <w:lvlText w:val=""/>
      <w:lvlJc w:val="start"/>
      <w:pPr>
        <w:ind w:hanging="1152" w:start="1152"/>
      </w:pPr>
      <w:rPr/>
    </w:lvl>
    <w:lvl w:ilvl="6">
      <w:start w:val="1"/>
      <w:numFmt w:val="none"/>
      <w:suff w:val="nothing"/>
      <w:lvlText w:val=""/>
      <w:lvlJc w:val="start"/>
      <w:pPr>
        <w:ind w:hanging="1296" w:start="1296"/>
      </w:pPr>
      <w:rPr/>
    </w:lvl>
    <w:lvl w:ilvl="7">
      <w:start w:val="1"/>
      <w:numFmt w:val="none"/>
      <w:suff w:val="nothing"/>
      <w:lvlText w:val=""/>
      <w:lvlJc w:val="start"/>
      <w:pPr>
        <w:ind w:hanging="1440" w:start="1440"/>
      </w:pPr>
      <w:rPr/>
    </w:lvl>
    <w:lvl w:ilvl="8">
      <w:start w:val="1"/>
      <w:numFmt w:val="none"/>
      <w:suff w:val="nothing"/>
      <w:lvlText w:val=""/>
      <w:lvlJc w:val="start"/>
      <w:pPr>
        <w:ind w:hanging="1584" w:star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lt-LT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end="0" w:firstLine="1134" w:start="0"/>
      <w:outlineLvl w:val="0"/>
    </w:pPr>
    <w:rPr>
      <w:sz w:val="24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outlineLvl w:val="3"/>
    </w:pPr>
    <w:rPr>
      <w:b/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WW8Num2z0"/>
    <w:next w:val="style24"/>
    <w:rPr/>
  </w:style>
  <w:style w:styleId="style25" w:type="character">
    <w:name w:val="WW8Num3z0"/>
    <w:next w:val="style25"/>
    <w:rPr/>
  </w:style>
  <w:style w:styleId="style26" w:type="character">
    <w:name w:val="WW8Num3z1"/>
    <w:next w:val="style26"/>
    <w:rPr/>
  </w:style>
  <w:style w:styleId="style27" w:type="character">
    <w:name w:val="WW8Num3z2"/>
    <w:next w:val="style27"/>
    <w:rPr/>
  </w:style>
  <w:style w:styleId="style28" w:type="character">
    <w:name w:val="WW8Num3z3"/>
    <w:next w:val="style28"/>
    <w:rPr/>
  </w:style>
  <w:style w:styleId="style29" w:type="character">
    <w:name w:val="WW8Num3z4"/>
    <w:next w:val="style29"/>
    <w:rPr/>
  </w:style>
  <w:style w:styleId="style30" w:type="character">
    <w:name w:val="WW8Num3z5"/>
    <w:next w:val="style30"/>
    <w:rPr/>
  </w:style>
  <w:style w:styleId="style31" w:type="character">
    <w:name w:val="WW8Num3z6"/>
    <w:next w:val="style31"/>
    <w:rPr/>
  </w:style>
  <w:style w:styleId="style32" w:type="character">
    <w:name w:val="WW8Num3z7"/>
    <w:next w:val="style32"/>
    <w:rPr/>
  </w:style>
  <w:style w:styleId="style33" w:type="character">
    <w:name w:val="WW8Num3z8"/>
    <w:next w:val="style33"/>
    <w:rPr/>
  </w:style>
  <w:style w:styleId="style34" w:type="character">
    <w:name w:val="WW8Num4z0"/>
    <w:next w:val="style34"/>
    <w:rPr/>
  </w:style>
  <w:style w:styleId="style35" w:type="character">
    <w:name w:val="WW8Num4z1"/>
    <w:next w:val="style35"/>
    <w:rPr/>
  </w:style>
  <w:style w:styleId="style36" w:type="character">
    <w:name w:val="WW8Num4z2"/>
    <w:next w:val="style36"/>
    <w:rPr/>
  </w:style>
  <w:style w:styleId="style37" w:type="character">
    <w:name w:val="WW8Num4z3"/>
    <w:next w:val="style37"/>
    <w:rPr/>
  </w:style>
  <w:style w:styleId="style38" w:type="character">
    <w:name w:val="WW8Num4z4"/>
    <w:next w:val="style38"/>
    <w:rPr/>
  </w:style>
  <w:style w:styleId="style39" w:type="character">
    <w:name w:val="WW8Num4z5"/>
    <w:next w:val="style39"/>
    <w:rPr/>
  </w:style>
  <w:style w:styleId="style40" w:type="character">
    <w:name w:val="WW8Num4z6"/>
    <w:next w:val="style40"/>
    <w:rPr/>
  </w:style>
  <w:style w:styleId="style41" w:type="character">
    <w:name w:val="WW8Num4z7"/>
    <w:next w:val="style41"/>
    <w:rPr/>
  </w:style>
  <w:style w:styleId="style42" w:type="character">
    <w:name w:val="WW8Num4z8"/>
    <w:next w:val="style42"/>
    <w:rPr/>
  </w:style>
  <w:style w:styleId="style43" w:type="character">
    <w:name w:val="Default Paragraph Font"/>
    <w:next w:val="style43"/>
    <w:rPr/>
  </w:style>
  <w:style w:styleId="style44" w:type="character">
    <w:name w:val="Page Number"/>
    <w:basedOn w:val="style43"/>
    <w:next w:val="style44"/>
    <w:rPr/>
  </w:style>
  <w:style w:styleId="style45" w:type="paragraph">
    <w:name w:val="Heading"/>
    <w:basedOn w:val="style0"/>
    <w:next w:val="style46"/>
    <w:pPr>
      <w:jc w:val="center"/>
    </w:pPr>
    <w:rPr>
      <w:b/>
      <w:color w:val="000000"/>
      <w:sz w:val="24"/>
    </w:rPr>
  </w:style>
  <w:style w:styleId="style46" w:type="paragraph">
    <w:name w:val="Text Body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Header"/>
    <w:basedOn w:val="style0"/>
    <w:next w:val="style50"/>
    <w:pPr>
      <w:tabs>
        <w:tab w:leader="none" w:pos="4153" w:val="center"/>
        <w:tab w:leader="none" w:pos="8306" w:val="right"/>
      </w:tabs>
    </w:pPr>
    <w:rPr/>
  </w:style>
  <w:style w:styleId="style51" w:type="paragraph">
    <w:name w:val="Text Body Indent"/>
    <w:basedOn w:val="style0"/>
    <w:next w:val="style51"/>
    <w:pPr>
      <w:ind w:end="0" w:firstLine="1134" w:start="0"/>
    </w:pPr>
    <w:rPr>
      <w:sz w:val="24"/>
    </w:rPr>
  </w:style>
  <w:style w:styleId="style52" w:type="paragraph">
    <w:name w:val="Footer"/>
    <w:basedOn w:val="style0"/>
    <w:next w:val="style52"/>
    <w:pPr>
      <w:tabs>
        <w:tab w:leader="none" w:pos="4153" w:val="center"/>
        <w:tab w:leader="none" w:pos="8306" w:val="right"/>
      </w:tabs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hyperlink"/>
    <w:basedOn w:val="style0"/>
    <w:next w:val="style54"/>
    <w:pPr>
      <w:spacing w:after="100" w:before="100"/>
      <w:contextualSpacing w:val="false"/>
    </w:pPr>
    <w:rPr>
      <w:sz w:val="24"/>
      <w:szCs w:val="24"/>
    </w:rPr>
  </w:style>
  <w:style w:styleId="style55" w:type="paragraph">
    <w:name w:val="Table Contents"/>
    <w:basedOn w:val="style0"/>
    <w:next w:val="style55"/>
    <w:pPr>
      <w:suppressLineNumbers/>
    </w:pPr>
    <w:rPr/>
  </w:style>
  <w:style w:styleId="style56" w:type="paragraph">
    <w:name w:val="Table Heading"/>
    <w:basedOn w:val="style55"/>
    <w:next w:val="style56"/>
    <w:pPr>
      <w:suppressLineNumbers/>
      <w:jc w:val="center"/>
    </w:pPr>
    <w:rPr>
      <w:b/>
      <w:bCs/>
    </w:rPr>
  </w:style>
  <w:style w:styleId="style57" w:type="paragraph">
    <w:name w:val="Frame Contents"/>
    <w:basedOn w:val="style0"/>
    <w:next w:val="style5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1380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2014-02-26T11:16:18Z</cp:lastPrinted>
  <dcterms:modified xsi:type="dcterms:W3CDTF">2013-07-26T13:18:00Z</dcterms:modified>
  <cp:revision>5</cp:revision>
  <dc:title>PANEVĖŽIO RAJONO SAVIVALDYBĖS ADMINISTRACIJOS DIREKTORIAUS ĮSAKYMO</dc:title>
</cp:coreProperties>
</file>