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EA" w:rsidRDefault="006E2005">
      <w:pPr>
        <w:jc w:val="center"/>
        <w:rPr>
          <w:b/>
          <w:sz w:val="24"/>
        </w:rPr>
      </w:pPr>
      <w:r w:rsidRPr="006E2005">
        <w:rPr>
          <w:b/>
          <w:sz w:val="24"/>
        </w:rPr>
        <w:t xml:space="preserve">DĖL </w:t>
      </w:r>
      <w:r w:rsidR="003A5385">
        <w:rPr>
          <w:b/>
          <w:sz w:val="24"/>
        </w:rPr>
        <w:t>PANEVĖŽIO RAJONO SAVIVALDYBĖS ADMINISTRACIJOS ILGALAIKIO TURTO NUSIDĖVĖJIMO (AMORTIZACIJOS) NORMATYVŲ PATVIRTINIMO</w:t>
      </w:r>
    </w:p>
    <w:p w:rsidR="006E2005" w:rsidRDefault="006E2005">
      <w:pPr>
        <w:jc w:val="center"/>
        <w:rPr>
          <w:b/>
          <w:sz w:val="24"/>
        </w:rPr>
      </w:pPr>
    </w:p>
    <w:p w:rsidR="006E2005" w:rsidRPr="006E2005" w:rsidRDefault="006E2005">
      <w:pPr>
        <w:jc w:val="center"/>
        <w:rPr>
          <w:b/>
          <w:sz w:val="24"/>
        </w:rPr>
      </w:pPr>
    </w:p>
    <w:p w:rsidR="001D70EA" w:rsidRPr="006E2005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20</w:t>
      </w:r>
      <w:r w:rsidR="003A5385">
        <w:rPr>
          <w:sz w:val="24"/>
          <w:szCs w:val="24"/>
        </w:rPr>
        <w:t>14</w:t>
      </w:r>
      <w:r w:rsidRPr="006E2005">
        <w:rPr>
          <w:sz w:val="24"/>
          <w:szCs w:val="24"/>
        </w:rPr>
        <w:t xml:space="preserve"> m. </w:t>
      </w:r>
      <w:r w:rsidR="003A5385">
        <w:rPr>
          <w:sz w:val="24"/>
          <w:szCs w:val="24"/>
        </w:rPr>
        <w:t xml:space="preserve"> rugsėjo      </w:t>
      </w:r>
      <w:r w:rsidRPr="006E2005">
        <w:rPr>
          <w:sz w:val="24"/>
          <w:szCs w:val="24"/>
        </w:rPr>
        <w:t xml:space="preserve"> d. Nr.</w:t>
      </w:r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3A5385" w:rsidRDefault="003A5385" w:rsidP="003A5385">
      <w:pPr>
        <w:rPr>
          <w:sz w:val="24"/>
          <w:szCs w:val="24"/>
        </w:rPr>
      </w:pPr>
    </w:p>
    <w:p w:rsidR="003A5385" w:rsidRDefault="003A5385" w:rsidP="003A5385">
      <w:pPr>
        <w:rPr>
          <w:sz w:val="24"/>
          <w:szCs w:val="24"/>
        </w:rPr>
      </w:pPr>
    </w:p>
    <w:p w:rsidR="003A5385" w:rsidRDefault="003A5385" w:rsidP="003461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Vadovaudamasis </w:t>
      </w:r>
      <w:r w:rsidR="00805DD0">
        <w:rPr>
          <w:sz w:val="24"/>
          <w:szCs w:val="24"/>
        </w:rPr>
        <w:t xml:space="preserve"> Lietuvos Respublikos Vyriausybės 2013 m. gruodžio 4 d.   nutarimu           Nr. 1158 „Dėl Lietuvos Respublikos Vyriausybės 2009 m. birželio10 d. nutarimo Nr. 564 „Dėl minimalios ilgalaikio materialiojo turto vertės nustatymo ir i</w:t>
      </w:r>
      <w:r>
        <w:rPr>
          <w:sz w:val="24"/>
          <w:szCs w:val="24"/>
        </w:rPr>
        <w:t>lgalaikio turto nusidėvėjimo (amortizacijos) minimali</w:t>
      </w:r>
      <w:r w:rsidR="00805DD0">
        <w:rPr>
          <w:sz w:val="24"/>
          <w:szCs w:val="24"/>
        </w:rPr>
        <w:t>ų</w:t>
      </w:r>
      <w:r>
        <w:rPr>
          <w:sz w:val="24"/>
          <w:szCs w:val="24"/>
        </w:rPr>
        <w:t xml:space="preserve"> ir maksimali</w:t>
      </w:r>
      <w:r w:rsidR="00805DD0">
        <w:rPr>
          <w:sz w:val="24"/>
          <w:szCs w:val="24"/>
        </w:rPr>
        <w:t>ų</w:t>
      </w:r>
      <w:r>
        <w:rPr>
          <w:sz w:val="24"/>
          <w:szCs w:val="24"/>
        </w:rPr>
        <w:t xml:space="preserve"> ekonomini</w:t>
      </w:r>
      <w:r w:rsidR="00805DD0">
        <w:rPr>
          <w:sz w:val="24"/>
          <w:szCs w:val="24"/>
        </w:rPr>
        <w:t>ų</w:t>
      </w:r>
      <w:r>
        <w:rPr>
          <w:sz w:val="24"/>
          <w:szCs w:val="24"/>
        </w:rPr>
        <w:t xml:space="preserve"> normatyv</w:t>
      </w:r>
      <w:r w:rsidR="00805DD0">
        <w:rPr>
          <w:sz w:val="24"/>
          <w:szCs w:val="24"/>
        </w:rPr>
        <w:t>ų viešojo sektoriaus subj</w:t>
      </w:r>
      <w:r w:rsidR="008109AD">
        <w:rPr>
          <w:sz w:val="24"/>
          <w:szCs w:val="24"/>
        </w:rPr>
        <w:t>ektams patvirtinimo“ pakeitimo“</w:t>
      </w:r>
      <w:r w:rsidR="003461A3">
        <w:rPr>
          <w:sz w:val="24"/>
          <w:szCs w:val="24"/>
        </w:rPr>
        <w:t>:</w:t>
      </w:r>
    </w:p>
    <w:p w:rsidR="003461A3" w:rsidRDefault="003461A3" w:rsidP="003461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8D5388">
        <w:rPr>
          <w:sz w:val="24"/>
          <w:szCs w:val="24"/>
        </w:rPr>
        <w:t xml:space="preserve"> </w:t>
      </w:r>
      <w:r>
        <w:rPr>
          <w:sz w:val="24"/>
          <w:szCs w:val="24"/>
        </w:rPr>
        <w:t>T v i r t i n u Panevėžio rajono savivaldybės administracijos ilgalaikio turto nusidėvėjimo (amortizacijos) normatyvus (pridedama).</w:t>
      </w:r>
    </w:p>
    <w:p w:rsidR="003461A3" w:rsidRDefault="003461A3" w:rsidP="003461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8D5388">
        <w:rPr>
          <w:sz w:val="24"/>
          <w:szCs w:val="24"/>
        </w:rPr>
        <w:t>P r i p a ž į s t u netekusiu galios Panevėžio rajono savivaldybės administracijos direktoriaus 2010 m. gegužės 13 d. įsakymą Nr. A-476  „Dėl Panevėžio rajono savivaldybės administracijos ilgalaikio turto nusidėvėjimo (amortizacijos) normatyvų patvirtinimo“.</w:t>
      </w: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Vitalijus Žiurlys</w:t>
      </w: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8D5388" w:rsidP="003461A3">
      <w:pPr>
        <w:jc w:val="both"/>
        <w:rPr>
          <w:sz w:val="24"/>
          <w:szCs w:val="24"/>
        </w:rPr>
      </w:pPr>
    </w:p>
    <w:p w:rsidR="008D5388" w:rsidRDefault="00C45F8C" w:rsidP="003461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Ieva </w:t>
      </w:r>
      <w:proofErr w:type="spellStart"/>
      <w:r>
        <w:rPr>
          <w:sz w:val="24"/>
          <w:szCs w:val="24"/>
        </w:rPr>
        <w:t>G</w:t>
      </w:r>
      <w:r w:rsidR="008D5388">
        <w:rPr>
          <w:sz w:val="24"/>
          <w:szCs w:val="24"/>
        </w:rPr>
        <w:t>edmantienė</w:t>
      </w:r>
      <w:proofErr w:type="spellEnd"/>
    </w:p>
    <w:p w:rsidR="008109AD" w:rsidRDefault="008109AD" w:rsidP="003461A3">
      <w:pPr>
        <w:jc w:val="both"/>
        <w:rPr>
          <w:sz w:val="24"/>
          <w:szCs w:val="24"/>
        </w:rPr>
      </w:pPr>
      <w:r>
        <w:rPr>
          <w:sz w:val="24"/>
          <w:szCs w:val="24"/>
        </w:rPr>
        <w:t>2014-09-02</w:t>
      </w:r>
    </w:p>
    <w:p w:rsidR="0096009C" w:rsidRDefault="0096009C" w:rsidP="003461A3">
      <w:pPr>
        <w:jc w:val="both"/>
        <w:rPr>
          <w:sz w:val="24"/>
          <w:szCs w:val="24"/>
        </w:rPr>
      </w:pPr>
    </w:p>
    <w:p w:rsidR="0096009C" w:rsidRDefault="0096009C" w:rsidP="003461A3">
      <w:pPr>
        <w:jc w:val="both"/>
        <w:rPr>
          <w:sz w:val="24"/>
          <w:szCs w:val="24"/>
        </w:rPr>
      </w:pPr>
      <w:bookmarkStart w:id="0" w:name="_GoBack"/>
      <w:bookmarkEnd w:id="0"/>
    </w:p>
    <w:p w:rsidR="0096009C" w:rsidRDefault="0096009C" w:rsidP="0096009C">
      <w:pPr>
        <w:tabs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PATVIRTINTA</w:t>
      </w:r>
    </w:p>
    <w:p w:rsidR="0096009C" w:rsidRDefault="0096009C" w:rsidP="0096009C">
      <w:pPr>
        <w:tabs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Panevėžio rajono savivaldybės </w:t>
      </w:r>
    </w:p>
    <w:p w:rsidR="0096009C" w:rsidRDefault="0096009C" w:rsidP="0096009C">
      <w:pPr>
        <w:tabs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administracijos direktoriaus</w:t>
      </w:r>
    </w:p>
    <w:p w:rsidR="0096009C" w:rsidRDefault="0096009C" w:rsidP="0096009C">
      <w:pPr>
        <w:tabs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2014 m. rugsėjo        d. įsakymu Nr.</w:t>
      </w:r>
    </w:p>
    <w:p w:rsidR="0096009C" w:rsidRDefault="0096009C" w:rsidP="0096009C">
      <w:pPr>
        <w:tabs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009C" w:rsidRDefault="0096009C" w:rsidP="0096009C">
      <w:pPr>
        <w:tabs>
          <w:tab w:val="left" w:pos="6237"/>
        </w:tabs>
        <w:jc w:val="both"/>
        <w:rPr>
          <w:sz w:val="24"/>
          <w:szCs w:val="24"/>
        </w:rPr>
      </w:pPr>
    </w:p>
    <w:p w:rsidR="0096009C" w:rsidRDefault="0096009C" w:rsidP="009600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ILGALAIKIO TURTO NUSIDĖVĖJIMO (AMORTIZACIJOS) NORMATYVAI</w:t>
      </w:r>
    </w:p>
    <w:p w:rsidR="0096009C" w:rsidRDefault="0096009C" w:rsidP="0096009C">
      <w:pPr>
        <w:jc w:val="both"/>
        <w:rPr>
          <w:b/>
          <w:sz w:val="24"/>
          <w:szCs w:val="24"/>
        </w:rPr>
      </w:pPr>
    </w:p>
    <w:p w:rsidR="0096009C" w:rsidRDefault="0096009C" w:rsidP="0096009C">
      <w:pPr>
        <w:jc w:val="both"/>
        <w:rPr>
          <w:b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10"/>
        <w:gridCol w:w="1816"/>
      </w:tblGrid>
      <w:tr w:rsidR="0096009C" w:rsidRPr="00D137D0" w:rsidTr="007037FF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Eil. Nr.</w:t>
            </w:r>
          </w:p>
        </w:tc>
        <w:tc>
          <w:tcPr>
            <w:tcW w:w="7210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Ilgalaikio turto grupės ir rūšys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Turto </w:t>
            </w:r>
            <w:proofErr w:type="spellStart"/>
            <w:r w:rsidRPr="00D137D0">
              <w:rPr>
                <w:sz w:val="24"/>
                <w:szCs w:val="24"/>
              </w:rPr>
              <w:t>nusidėvė-jimo</w:t>
            </w:r>
            <w:proofErr w:type="spellEnd"/>
            <w:r w:rsidRPr="00D137D0">
              <w:rPr>
                <w:sz w:val="24"/>
                <w:szCs w:val="24"/>
              </w:rPr>
              <w:t xml:space="preserve"> normatyvai metais</w:t>
            </w:r>
          </w:p>
        </w:tc>
      </w:tr>
      <w:tr w:rsidR="0096009C" w:rsidRPr="00D137D0" w:rsidTr="007037FF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</w:t>
            </w:r>
          </w:p>
        </w:tc>
        <w:tc>
          <w:tcPr>
            <w:tcW w:w="7210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3</w:t>
            </w:r>
          </w:p>
        </w:tc>
      </w:tr>
      <w:tr w:rsidR="0096009C" w:rsidRPr="00D137D0" w:rsidTr="007037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NEMATERIALUSIS TURTAS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1.</w:t>
            </w:r>
          </w:p>
        </w:tc>
        <w:tc>
          <w:tcPr>
            <w:tcW w:w="7210" w:type="dxa"/>
            <w:tcBorders>
              <w:top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  <w:lang w:val="en-US"/>
              </w:rPr>
            </w:pPr>
            <w:r w:rsidRPr="00D137D0">
              <w:rPr>
                <w:sz w:val="24"/>
                <w:szCs w:val="24"/>
              </w:rPr>
              <w:t>Patentai, išradimai, licencijos, įsigytos kitos teisės</w:t>
            </w:r>
            <w:r w:rsidRPr="00D137D0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Prestižas (herbas, vardas ir t.t.)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10</w:t>
            </w:r>
          </w:p>
        </w:tc>
      </w:tr>
      <w:tr w:rsidR="0096009C" w:rsidRPr="00D137D0" w:rsidTr="007037FF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3.</w:t>
            </w:r>
          </w:p>
        </w:tc>
        <w:tc>
          <w:tcPr>
            <w:tcW w:w="7210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Programinė įranga, jos licencijos* ir techninė dokumentacija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3</w:t>
            </w:r>
          </w:p>
        </w:tc>
      </w:tr>
      <w:tr w:rsidR="0096009C" w:rsidRPr="00D137D0" w:rsidTr="007037FF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4.</w:t>
            </w:r>
          </w:p>
        </w:tc>
        <w:tc>
          <w:tcPr>
            <w:tcW w:w="7210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Kitas nematerialusis turtas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</w:t>
            </w:r>
          </w:p>
        </w:tc>
      </w:tr>
      <w:tr w:rsidR="0096009C" w:rsidRPr="00D137D0" w:rsidTr="007037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  <w:lang w:val="en-US"/>
              </w:rPr>
              <w:t>*</w:t>
            </w:r>
            <w:proofErr w:type="spellStart"/>
            <w:r w:rsidRPr="00D137D0">
              <w:rPr>
                <w:sz w:val="24"/>
                <w:szCs w:val="24"/>
                <w:lang w:val="en-US"/>
              </w:rPr>
              <w:t>Jeigu</w:t>
            </w:r>
            <w:proofErr w:type="spellEnd"/>
            <w:r w:rsidRPr="00D137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37D0">
              <w:rPr>
                <w:sz w:val="24"/>
                <w:szCs w:val="24"/>
                <w:lang w:val="en-US"/>
              </w:rPr>
              <w:t>patentai</w:t>
            </w:r>
            <w:proofErr w:type="spellEnd"/>
            <w:r w:rsidRPr="00D137D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37D0">
              <w:rPr>
                <w:sz w:val="24"/>
                <w:szCs w:val="24"/>
                <w:lang w:val="en-US"/>
              </w:rPr>
              <w:t>išradimai</w:t>
            </w:r>
            <w:proofErr w:type="spellEnd"/>
            <w:r w:rsidRPr="00D137D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37D0">
              <w:rPr>
                <w:sz w:val="24"/>
                <w:szCs w:val="24"/>
                <w:lang w:val="en-US"/>
              </w:rPr>
              <w:t>licencijos</w:t>
            </w:r>
            <w:proofErr w:type="spellEnd"/>
            <w:r w:rsidRPr="00D137D0">
              <w:rPr>
                <w:sz w:val="24"/>
                <w:szCs w:val="24"/>
                <w:lang w:val="en-US"/>
              </w:rPr>
              <w:t xml:space="preserve"> (tarp j</w:t>
            </w:r>
            <w:r w:rsidRPr="00D137D0">
              <w:rPr>
                <w:sz w:val="24"/>
                <w:szCs w:val="24"/>
              </w:rPr>
              <w:t>ų – programinės įrangos) ar kitos teisės yra įsigyti konkrečiam laikotarpiui</w:t>
            </w:r>
            <w:r>
              <w:rPr>
                <w:sz w:val="24"/>
                <w:szCs w:val="24"/>
              </w:rPr>
              <w:t>,</w:t>
            </w:r>
            <w:r w:rsidRPr="00D137D0">
              <w:rPr>
                <w:sz w:val="24"/>
                <w:szCs w:val="24"/>
              </w:rPr>
              <w:t xml:space="preserve"> trukmė laikoma naudingo tarnavimo laiku ir juo remiantis skaičiuojama amortizacija. Šiuo atveju lentelėje nurodyti amortizacijos normatyvai netaikomi.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MATERIALUSIS TURTAS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5.</w:t>
            </w:r>
          </w:p>
        </w:tc>
        <w:tc>
          <w:tcPr>
            <w:tcW w:w="7210" w:type="dxa"/>
            <w:tcBorders>
              <w:top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Pastatai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5.1.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Kapitaliniai mūriniai pastatai (sienos 2,5 ir daugiau plytų storio, </w:t>
            </w:r>
            <w:proofErr w:type="spellStart"/>
            <w:r w:rsidRPr="00D137D0">
              <w:rPr>
                <w:sz w:val="24"/>
                <w:szCs w:val="24"/>
              </w:rPr>
              <w:t>gelžbe-tonio</w:t>
            </w:r>
            <w:proofErr w:type="spellEnd"/>
            <w:r w:rsidRPr="00D137D0">
              <w:rPr>
                <w:sz w:val="24"/>
                <w:szCs w:val="24"/>
              </w:rPr>
              <w:t>; perdengimai ir denginiai</w:t>
            </w:r>
            <w:r>
              <w:rPr>
                <w:sz w:val="24"/>
                <w:szCs w:val="24"/>
              </w:rPr>
              <w:t xml:space="preserve"> </w:t>
            </w:r>
            <w:r w:rsidRPr="00D13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̶</w:t>
            </w:r>
            <w:r w:rsidRPr="00D13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137D0">
              <w:rPr>
                <w:sz w:val="24"/>
                <w:szCs w:val="24"/>
              </w:rPr>
              <w:t>gelžbetoniniai ir  betoniniai); monolitinio gelžbetonio pastatai, stambių blokų (perdengimai ir denginiai</w:t>
            </w:r>
            <w:r>
              <w:rPr>
                <w:sz w:val="24"/>
                <w:szCs w:val="24"/>
              </w:rPr>
              <w:t xml:space="preserve"> </w:t>
            </w:r>
            <w:r w:rsidRPr="00D13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̶</w:t>
            </w:r>
            <w:r w:rsidRPr="00D13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137D0">
              <w:rPr>
                <w:sz w:val="24"/>
                <w:szCs w:val="24"/>
              </w:rPr>
              <w:t>gelžbetoniniai, betoniniai arba mediniai) pastatai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115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5.2.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Pastatai (sienos</w:t>
            </w:r>
            <w:r>
              <w:rPr>
                <w:sz w:val="24"/>
                <w:szCs w:val="24"/>
              </w:rPr>
              <w:t xml:space="preserve"> </w:t>
            </w:r>
            <w:r w:rsidRPr="00D13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̶</w:t>
            </w:r>
            <w:r w:rsidRPr="00D13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137D0">
              <w:rPr>
                <w:sz w:val="24"/>
                <w:szCs w:val="24"/>
              </w:rPr>
              <w:t>iki 2,5 plytos storio, blokų, monolitinio šlako, betono, lengvų šlako blokų, perdengimai ir denginiai - gelžbetoniniai, betoniniai arba mediniai)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75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5.3.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Tašytų rąstų pastatai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40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5.4.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Surenkamieji, išardomieji, moliniai ir kiti pastatai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12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Infrastruktūros ir kiti statiniai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Gręžtiniai šuliniai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6.2.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Tvenkiniai, užtvankos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6.3.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Hidrotechniniai įrenginiai kanaluose (reguliavimo šliuzai, akvedukai, slenksčiai, greitvietės, diukeriai, vandens </w:t>
            </w:r>
            <w:proofErr w:type="spellStart"/>
            <w:r w:rsidRPr="00D137D0">
              <w:rPr>
                <w:sz w:val="24"/>
                <w:szCs w:val="24"/>
              </w:rPr>
              <w:t>nuleistuvai</w:t>
            </w:r>
            <w:proofErr w:type="spellEnd"/>
            <w:r w:rsidRPr="00D137D0">
              <w:rPr>
                <w:sz w:val="24"/>
                <w:szCs w:val="24"/>
              </w:rPr>
              <w:t>)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6.4.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Inžin</w:t>
            </w:r>
            <w:r w:rsidRPr="00D137D0">
              <w:rPr>
                <w:sz w:val="24"/>
                <w:szCs w:val="24"/>
              </w:rPr>
              <w:t>eriniai tinklai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6.5.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Vandentiekio bokštai, arteziniai gręžiniai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6.6.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Drėkinimo sistemos, jų vandens kėlimo stotys ir paėmimo bei </w:t>
            </w:r>
            <w:proofErr w:type="spellStart"/>
            <w:r w:rsidRPr="00D137D0">
              <w:rPr>
                <w:sz w:val="24"/>
                <w:szCs w:val="24"/>
              </w:rPr>
              <w:t>perdavi-mo</w:t>
            </w:r>
            <w:proofErr w:type="spellEnd"/>
            <w:r w:rsidRPr="00D137D0">
              <w:rPr>
                <w:sz w:val="24"/>
                <w:szCs w:val="24"/>
              </w:rPr>
              <w:t xml:space="preserve"> įrenginiai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6.7.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Vandentiekio tinklai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6.8.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Vandens valymo įrenginiai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6.9.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Nuotekų siurblinės, nuotekų tinklai, kanalizacijos sistemos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6.10.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Šiluminės trasos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6.11.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Dujotiekio tinklai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6.12.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Elektros perdavimo oro linijos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6.13.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Ryšių kabelinės linijos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6.14.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Tvoros, paminklai ir kt.: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mūrinės, metalinės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30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3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gelžbetoninės, akmens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medinės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6.15.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Tiltai, tuneliai: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35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metaliniai 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30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mediniai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6.16.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Automobilių keliai, aikštelės: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D137D0">
              <w:rPr>
                <w:sz w:val="24"/>
                <w:szCs w:val="24"/>
              </w:rPr>
              <w:t xml:space="preserve">sfalto 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15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žvyro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6.17.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Kiti statiniai (stendai, sąvartynai, priešgaisriniai rezervuarai, kapinės ir kt.)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Mašinos ir įrenginiai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7.1.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Gamybos mašinos ir įrenginiai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15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7.2.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Medicinos įranga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8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7.3.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Signalizacijos, apsaugos sistemos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7.4.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Katilinių įrengi</w:t>
            </w:r>
            <w:r>
              <w:rPr>
                <w:sz w:val="24"/>
                <w:szCs w:val="24"/>
              </w:rPr>
              <w:t>ni</w:t>
            </w:r>
            <w:r w:rsidRPr="00D137D0">
              <w:rPr>
                <w:sz w:val="24"/>
                <w:szCs w:val="24"/>
              </w:rPr>
              <w:t>ai, stacionarūs garo, šildymo katilai su pagalbine įranga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14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7.5.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Elektros varikliai, kompresoriai, siurbliai, orapūtės, suvirinimo elektra įrengi</w:t>
            </w:r>
            <w:r>
              <w:rPr>
                <w:sz w:val="24"/>
                <w:szCs w:val="24"/>
              </w:rPr>
              <w:t>ni</w:t>
            </w:r>
            <w:r w:rsidRPr="00D137D0">
              <w:rPr>
                <w:sz w:val="24"/>
                <w:szCs w:val="24"/>
              </w:rPr>
              <w:t>ai ir kt.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7.6.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Šildytuvai, boileriai, šaldytuvai, skalbimo, lyginimo mašinos, </w:t>
            </w:r>
            <w:proofErr w:type="spellStart"/>
            <w:r w:rsidRPr="00D137D0">
              <w:rPr>
                <w:sz w:val="24"/>
                <w:szCs w:val="24"/>
              </w:rPr>
              <w:t>indaplo</w:t>
            </w:r>
            <w:proofErr w:type="spellEnd"/>
            <w:r w:rsidRPr="00D137D0">
              <w:rPr>
                <w:sz w:val="24"/>
                <w:szCs w:val="24"/>
              </w:rPr>
              <w:t>-vės, elektrinės viryklės ir kt.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7.7.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Bendrosios paskirties plūgai, kultivatoriai, cisternos kroviniams ir kt.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14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7.8.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proofErr w:type="spellStart"/>
            <w:r w:rsidRPr="00D137D0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 w:rsidRPr="00D137D0">
              <w:rPr>
                <w:sz w:val="24"/>
                <w:szCs w:val="24"/>
              </w:rPr>
              <w:t>japjovės</w:t>
            </w:r>
            <w:proofErr w:type="spellEnd"/>
            <w:r w:rsidRPr="00D137D0">
              <w:rPr>
                <w:sz w:val="24"/>
                <w:szCs w:val="24"/>
              </w:rPr>
              <w:t>, krūmapjovės, pjūklai ir kt.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7.9.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Perdavimo bei priėmimo stacionarinės radijo stotys, televizijos ir </w:t>
            </w:r>
            <w:proofErr w:type="spellStart"/>
            <w:r w:rsidRPr="00D137D0">
              <w:rPr>
                <w:sz w:val="24"/>
                <w:szCs w:val="24"/>
              </w:rPr>
              <w:t>video</w:t>
            </w:r>
            <w:proofErr w:type="spellEnd"/>
            <w:r w:rsidRPr="00D137D0">
              <w:rPr>
                <w:sz w:val="24"/>
                <w:szCs w:val="24"/>
              </w:rPr>
              <w:t>-kontroliniai įrengi</w:t>
            </w:r>
            <w:r>
              <w:rPr>
                <w:sz w:val="24"/>
                <w:szCs w:val="24"/>
              </w:rPr>
              <w:t>ni</w:t>
            </w:r>
            <w:r w:rsidRPr="00D137D0">
              <w:rPr>
                <w:sz w:val="24"/>
                <w:szCs w:val="24"/>
              </w:rPr>
              <w:t>ai ir kt.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4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8.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Transporto priemonės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8.1.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Lengvieji automobiliai ir jų priekabos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8.2.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Autobusai, krovininiai automobiliai, jų priekabos ir puspriekabės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8.3.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Specialūs automobiliai  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8.4.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Kitos transporto priemonės (traktoriai, jų priekabos, savivarčiai, </w:t>
            </w:r>
            <w:proofErr w:type="spellStart"/>
            <w:r w:rsidRPr="00D137D0">
              <w:rPr>
                <w:sz w:val="24"/>
                <w:szCs w:val="24"/>
              </w:rPr>
              <w:t>ekska-vatoriai</w:t>
            </w:r>
            <w:proofErr w:type="spellEnd"/>
            <w:r w:rsidRPr="00D137D0">
              <w:rPr>
                <w:sz w:val="24"/>
                <w:szCs w:val="24"/>
              </w:rPr>
              <w:t xml:space="preserve"> ir kt.)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9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9.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Baldai ir biuro įranga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9.1.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Baldai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8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9.2.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Stoviniai stelažai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9.3.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Kompiuteriai ir jų įranga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9.4.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Kopijavimo ir dokumentų dauginimo priemonės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6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9.5.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Kita biuro įranga (telefono aparatai, radijo imtuvai, markiravimo įrengi-</w:t>
            </w:r>
            <w:proofErr w:type="spellStart"/>
            <w:r>
              <w:rPr>
                <w:sz w:val="24"/>
                <w:szCs w:val="24"/>
              </w:rPr>
              <w:t>ni</w:t>
            </w:r>
            <w:r w:rsidRPr="00D137D0">
              <w:rPr>
                <w:sz w:val="24"/>
                <w:szCs w:val="24"/>
              </w:rPr>
              <w:t>ai</w:t>
            </w:r>
            <w:proofErr w:type="spellEnd"/>
            <w:r w:rsidRPr="00D137D0">
              <w:rPr>
                <w:sz w:val="24"/>
                <w:szCs w:val="24"/>
              </w:rPr>
              <w:t>, faksimiliniai aparatai, braižytuvai, fotoaparatai, videokameros ir kt.)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10.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Kitas ilgalaikis materialusis turtas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10.1.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Muzikos instrumentai: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137D0">
              <w:rPr>
                <w:sz w:val="24"/>
                <w:szCs w:val="24"/>
              </w:rPr>
              <w:t>ianinai, rojaliai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30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137D0">
              <w:rPr>
                <w:sz w:val="24"/>
                <w:szCs w:val="24"/>
              </w:rPr>
              <w:t>učiamieji, mušamieji, styginiai ir kt. instrumentai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9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10.2.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 xml:space="preserve">Ūkinis inventorius ir kt. reikmenys (kasos, kavos aparatai, vandens </w:t>
            </w:r>
            <w:proofErr w:type="spellStart"/>
            <w:r w:rsidRPr="00D137D0">
              <w:rPr>
                <w:sz w:val="24"/>
                <w:szCs w:val="24"/>
              </w:rPr>
              <w:t>hidroforai</w:t>
            </w:r>
            <w:proofErr w:type="spellEnd"/>
            <w:r w:rsidRPr="00D137D0">
              <w:rPr>
                <w:sz w:val="24"/>
                <w:szCs w:val="24"/>
              </w:rPr>
              <w:t xml:space="preserve">, seifai, paveikslai, žaliuzės, kilimai, dulkių siurbliai, </w:t>
            </w:r>
            <w:proofErr w:type="spellStart"/>
            <w:r w:rsidRPr="00D137D0">
              <w:rPr>
                <w:sz w:val="24"/>
                <w:szCs w:val="24"/>
              </w:rPr>
              <w:t>televizo-riai</w:t>
            </w:r>
            <w:proofErr w:type="spellEnd"/>
            <w:r w:rsidRPr="00D137D0">
              <w:rPr>
                <w:sz w:val="24"/>
                <w:szCs w:val="24"/>
              </w:rPr>
              <w:t>, dekoratyviniai vitražai, konteineriai ir kt.)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7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10.3.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Specialieji drabužiai ir avalynė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2</w:t>
            </w:r>
          </w:p>
        </w:tc>
      </w:tr>
      <w:tr w:rsidR="0096009C" w:rsidRPr="00D137D0" w:rsidTr="007037FF">
        <w:tc>
          <w:tcPr>
            <w:tcW w:w="828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10.4.</w:t>
            </w:r>
          </w:p>
        </w:tc>
        <w:tc>
          <w:tcPr>
            <w:tcW w:w="7210" w:type="dxa"/>
            <w:shd w:val="clear" w:color="auto" w:fill="auto"/>
          </w:tcPr>
          <w:p w:rsidR="0096009C" w:rsidRPr="00D137D0" w:rsidRDefault="0096009C" w:rsidP="007037FF">
            <w:pPr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Kitas ilgalaikis materialusis turtas (vėliavos, herbai,  rajono mero ženklas ir kt.)</w:t>
            </w:r>
          </w:p>
        </w:tc>
        <w:tc>
          <w:tcPr>
            <w:tcW w:w="1816" w:type="dxa"/>
            <w:shd w:val="clear" w:color="auto" w:fill="auto"/>
          </w:tcPr>
          <w:p w:rsidR="0096009C" w:rsidRPr="00D137D0" w:rsidRDefault="0096009C" w:rsidP="007037FF">
            <w:pPr>
              <w:jc w:val="center"/>
              <w:rPr>
                <w:sz w:val="24"/>
                <w:szCs w:val="24"/>
              </w:rPr>
            </w:pPr>
            <w:r w:rsidRPr="00D137D0">
              <w:rPr>
                <w:sz w:val="24"/>
                <w:szCs w:val="24"/>
              </w:rPr>
              <w:t>5</w:t>
            </w:r>
          </w:p>
        </w:tc>
      </w:tr>
    </w:tbl>
    <w:p w:rsidR="0096009C" w:rsidRDefault="0096009C" w:rsidP="0096009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96009C" w:rsidRPr="006E2005" w:rsidRDefault="0096009C" w:rsidP="003461A3">
      <w:pPr>
        <w:jc w:val="both"/>
        <w:rPr>
          <w:sz w:val="24"/>
          <w:szCs w:val="24"/>
        </w:rPr>
      </w:pPr>
    </w:p>
    <w:sectPr w:rsidR="0096009C" w:rsidRPr="006E2005" w:rsidSect="006E2005">
      <w:headerReference w:type="even" r:id="rId6"/>
      <w:footerReference w:type="even" r:id="rId7"/>
      <w:footerReference w:type="default" r:id="rId8"/>
      <w:headerReference w:type="first" r:id="rId9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55" w:rsidRDefault="00485C55">
      <w:r>
        <w:separator/>
      </w:r>
    </w:p>
  </w:endnote>
  <w:endnote w:type="continuationSeparator" w:id="0">
    <w:p w:rsidR="00485C55" w:rsidRDefault="004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70EA" w:rsidRDefault="001D70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55" w:rsidRDefault="00485C55">
      <w:r>
        <w:separator/>
      </w:r>
    </w:p>
  </w:footnote>
  <w:footnote w:type="continuationSeparator" w:id="0">
    <w:p w:rsidR="00485C55" w:rsidRDefault="0048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0EA" w:rsidRDefault="001D70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D70EA" w:rsidRDefault="001D70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05" w:rsidRDefault="006E2005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71241440" r:id="rId2"/>
      </w:object>
    </w:r>
  </w:p>
  <w:p w:rsidR="006E2005" w:rsidRDefault="006E2005" w:rsidP="006E2005">
    <w:pPr>
      <w:pStyle w:val="Antrats"/>
      <w:jc w:val="center"/>
    </w:pPr>
  </w:p>
  <w:p w:rsidR="006E2005" w:rsidRDefault="006E2005" w:rsidP="006E2005">
    <w:pPr>
      <w:pStyle w:val="Antrats"/>
      <w:jc w:val="center"/>
    </w:pPr>
  </w:p>
  <w:p w:rsidR="006E2005" w:rsidRDefault="006E2005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6E2005" w:rsidRDefault="006E2005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6E2005" w:rsidRDefault="006E2005" w:rsidP="006E2005">
    <w:pPr>
      <w:pStyle w:val="Antrats"/>
      <w:jc w:val="center"/>
      <w:rPr>
        <w:b/>
        <w:sz w:val="28"/>
      </w:rPr>
    </w:pPr>
  </w:p>
  <w:p w:rsidR="006E2005" w:rsidRDefault="006E2005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85"/>
    <w:rsid w:val="00167E34"/>
    <w:rsid w:val="001D70EA"/>
    <w:rsid w:val="001F603E"/>
    <w:rsid w:val="003461A3"/>
    <w:rsid w:val="0035541F"/>
    <w:rsid w:val="003A5385"/>
    <w:rsid w:val="00485C55"/>
    <w:rsid w:val="00617BC4"/>
    <w:rsid w:val="006E2005"/>
    <w:rsid w:val="007A3735"/>
    <w:rsid w:val="00805DD0"/>
    <w:rsid w:val="008109AD"/>
    <w:rsid w:val="008D5388"/>
    <w:rsid w:val="0096009C"/>
    <w:rsid w:val="00C45F8C"/>
    <w:rsid w:val="00C63606"/>
    <w:rsid w:val="00E6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950E2F-251E-4577-B03C-BEEBB0EE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va.gedmantiene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15</TotalTime>
  <Pages>4</Pages>
  <Words>3563</Words>
  <Characters>2031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Ieva Gedmantiene</dc:creator>
  <cp:keywords/>
  <cp:lastModifiedBy>Ieva Gedmantiene</cp:lastModifiedBy>
  <cp:revision>4</cp:revision>
  <cp:lastPrinted>2001-06-06T12:39:00Z</cp:lastPrinted>
  <dcterms:created xsi:type="dcterms:W3CDTF">2014-09-02T10:42:00Z</dcterms:created>
  <dcterms:modified xsi:type="dcterms:W3CDTF">2014-09-03T06:24:00Z</dcterms:modified>
</cp:coreProperties>
</file>