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vasario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firstLine="1134" w:left="0" w:righ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>t v i r t i n u duomenis apie numerių adresų objektams suteikimą (1, 2, 3, 4, 5,                6, 7, 8, 9, 10 pried</w:t>
      </w:r>
      <w:r>
        <w:rPr/>
        <w:t>ai</w:t>
      </w:r>
      <w:r>
        <w:rPr/>
        <w:t>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firstLine="1134" w:left="0" w:righ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hanging="0" w:left="0" w:right="0"/>
        <w:jc w:val="both"/>
        <w:rPr/>
      </w:pPr>
      <w:r>
        <w:rPr/>
      </w:r>
    </w:p>
    <w:p>
      <w:pPr>
        <w:pStyle w:val="style51"/>
        <w:ind w:hanging="0" w:left="0" w:righ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Tahoma">
    <w:charset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firstLine="1134" w:left="0" w:righ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firstLine="1134" w:left="0" w:righ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2014-02-12T11:50:43Z</cp:lastPrinted>
  <dcterms:modified xsi:type="dcterms:W3CDTF">2013-07-26T13:18:00Z</dcterms:modified>
  <cp:revision>5</cp:revision>
  <dc:title>PANEVĖŽIO RAJONO SAVIVALDYBĖS ADMINISTRACIJOS DIREKTORIAUS ĮSAKYMO</dc:title>
</cp:coreProperties>
</file>