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media/image3.svg" ContentType="image/svg"/>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eastAsia="" w:cs="Calibri" w:cstheme="minorHAnsi" w:eastAsiaTheme="minorEastAsia"/>
          <w:color w:val="333333"/>
        </w:rPr>
      </w:pPr>
      <w:bookmarkStart w:id="0" w:name="_Hlk146715473"/>
      <w:r>
        <w:rPr>
          <w:rFonts w:eastAsia="" w:cs="Calibri" w:cstheme="minorHAnsi" w:eastAsiaTheme="minorEastAsia"/>
          <w:b/>
          <w:bCs/>
          <w:color w:val="333333"/>
        </w:rPr>
        <w:t>Informacija žemės sklypų savininkams, kurių gyvenamosios vietos adresas nežinomas arba kuriems nepavyko įteikti registruoto laiško, PAGAL LR ATSINAUJINANČIŲ IŠTEKLIŲ ENERGETIKOS ĮSTATYMO 49 STR. 16 D. ir 17 D.</w:t>
      </w:r>
    </w:p>
    <w:p>
      <w:pPr>
        <w:pStyle w:val="Normal"/>
        <w:spacing w:lineRule="auto" w:line="240" w:before="0" w:after="240"/>
        <w:jc w:val="both"/>
        <w:rPr>
          <w:rFonts w:cs="Calibri" w:cstheme="minorHAnsi"/>
          <w:sz w:val="20"/>
          <w:szCs w:val="20"/>
        </w:rPr>
      </w:pPr>
      <w:bookmarkStart w:id="1" w:name="_Hlk146715479"/>
      <w:bookmarkEnd w:id="0"/>
      <w:r>
        <w:rPr>
          <w:rFonts w:cs="Calibri" w:cstheme="minorHAnsi"/>
          <w:sz w:val="20"/>
          <w:szCs w:val="20"/>
        </w:rPr>
        <w:t>Ši informacija skelbiama vadovaujantis LR atsinaujinančių išteklių energetikos įstatymo 49 str. 16 d. ir 17 d. ir atsižvelgiant į tai, kad šių žemės sklypų savininkams nepavyko įteikti informacinių pranešimų arba šių žemės sklypų savininkų gyvenamosios vietos adresas nėra žinomas:</w:t>
      </w:r>
    </w:p>
    <w:p>
      <w:pPr>
        <w:sectPr>
          <w:type w:val="nextPage"/>
          <w:pgSz w:w="16838" w:h="23811"/>
          <w:pgMar w:left="1134" w:right="567" w:gutter="0" w:header="0" w:top="1134" w:footer="0" w:bottom="851"/>
          <w:pgNumType w:fmt="decimal"/>
          <w:formProt w:val="false"/>
          <w:textDirection w:val="lrTb"/>
          <w:docGrid w:type="default" w:linePitch="360" w:charSpace="0"/>
        </w:sectPr>
      </w:pPr>
    </w:p>
    <w:p>
      <w:pPr>
        <w:pStyle w:val="Normal"/>
        <w:spacing w:lineRule="auto" w:line="240" w:before="0" w:after="0"/>
        <w:jc w:val="both"/>
        <w:rPr>
          <w:rFonts w:cs="Calibri" w:cstheme="minorHAnsi"/>
          <w:sz w:val="20"/>
          <w:szCs w:val="20"/>
        </w:rPr>
      </w:pPr>
      <w:r>
        <w:rPr>
          <w:rFonts w:cs="Calibri" w:cstheme="minorHAnsi"/>
          <w:sz w:val="20"/>
          <w:szCs w:val="20"/>
        </w:rPr>
      </w:r>
    </w:p>
    <w:tbl>
      <w:tblPr>
        <w:tblStyle w:val="Lentelstinklelis"/>
        <w:tblW w:w="6799" w:type="dxa"/>
        <w:jc w:val="start"/>
        <w:tblInd w:w="0" w:type="dxa"/>
        <w:tblLayout w:type="fixed"/>
        <w:tblCellMar>
          <w:top w:w="0" w:type="dxa"/>
          <w:start w:w="108" w:type="dxa"/>
          <w:bottom w:w="0" w:type="dxa"/>
          <w:end w:w="108" w:type="dxa"/>
        </w:tblCellMar>
        <w:tblLook w:val="04a0" w:firstRow="1" w:noVBand="1" w:lastRow="0" w:firstColumn="1" w:lastColumn="0" w:noHBand="0"/>
      </w:tblPr>
      <w:tblGrid>
        <w:gridCol w:w="987"/>
        <w:gridCol w:w="2126"/>
        <w:gridCol w:w="3686"/>
      </w:tblGrid>
      <w:tr>
        <w:trPr/>
        <w:tc>
          <w:tcPr>
            <w:tcW w:w="987" w:type="dxa"/>
            <w:tcBorders/>
          </w:tcPr>
          <w:p>
            <w:pPr>
              <w:pStyle w:val="Normal"/>
              <w:widowControl/>
              <w:spacing w:lineRule="auto" w:line="240" w:before="0" w:after="0"/>
              <w:jc w:val="both"/>
              <w:rPr>
                <w:rFonts w:cs="Calibri" w:cstheme="minorHAnsi"/>
                <w:sz w:val="20"/>
                <w:szCs w:val="20"/>
              </w:rPr>
            </w:pPr>
            <w:r>
              <w:rPr>
                <w:rFonts w:eastAsia="Calibri" w:cs="Calibri" w:cstheme="minorHAnsi"/>
                <w:kern w:val="2"/>
                <w:sz w:val="20"/>
                <w:szCs w:val="20"/>
                <w:lang w:val="lt-LT" w:eastAsia="en-US" w:bidi="ar-SA"/>
              </w:rPr>
              <w:t>Eil. Nr.</w:t>
            </w:r>
          </w:p>
        </w:tc>
        <w:tc>
          <w:tcPr>
            <w:tcW w:w="2126" w:type="dxa"/>
            <w:tcBorders/>
          </w:tcPr>
          <w:p>
            <w:pPr>
              <w:pStyle w:val="Normal"/>
              <w:widowControl/>
              <w:spacing w:lineRule="auto" w:line="240" w:before="0" w:after="0"/>
              <w:jc w:val="both"/>
              <w:rPr>
                <w:rFonts w:cs="Calibri" w:cstheme="minorHAnsi"/>
                <w:sz w:val="20"/>
                <w:szCs w:val="20"/>
              </w:rPr>
            </w:pPr>
            <w:r>
              <w:rPr>
                <w:rFonts w:eastAsia="Calibri" w:cs="Calibri" w:cstheme="minorHAnsi"/>
                <w:kern w:val="2"/>
                <w:sz w:val="20"/>
                <w:szCs w:val="20"/>
                <w:lang w:val="lt-LT" w:eastAsia="en-US" w:bidi="ar-SA"/>
              </w:rPr>
              <w:t>Unikalus Nr.</w:t>
            </w:r>
          </w:p>
        </w:tc>
        <w:tc>
          <w:tcPr>
            <w:tcW w:w="3686" w:type="dxa"/>
            <w:tcBorders/>
          </w:tcPr>
          <w:p>
            <w:pPr>
              <w:pStyle w:val="Normal"/>
              <w:widowControl/>
              <w:spacing w:lineRule="auto" w:line="240" w:before="0" w:after="0"/>
              <w:jc w:val="both"/>
              <w:rPr>
                <w:rFonts w:cs="Calibri" w:cstheme="minorHAnsi"/>
                <w:sz w:val="20"/>
                <w:szCs w:val="20"/>
              </w:rPr>
            </w:pPr>
            <w:r>
              <w:rPr>
                <w:rFonts w:eastAsia="Calibri" w:cs="Calibri" w:cstheme="minorHAnsi"/>
                <w:kern w:val="2"/>
                <w:sz w:val="20"/>
                <w:szCs w:val="20"/>
                <w:lang w:val="lt-LT" w:eastAsia="en-US" w:bidi="ar-SA"/>
              </w:rPr>
              <w:t>Adresas</w:t>
            </w:r>
          </w:p>
        </w:tc>
      </w:tr>
      <w:tr>
        <w:trPr/>
        <w:tc>
          <w:tcPr>
            <w:tcW w:w="6799" w:type="dxa"/>
            <w:gridSpan w:val="3"/>
            <w:tcBorders/>
          </w:tcPr>
          <w:p>
            <w:pPr>
              <w:pStyle w:val="Normal"/>
              <w:widowControl/>
              <w:spacing w:lineRule="auto" w:line="240" w:before="0" w:after="0"/>
              <w:jc w:val="center"/>
              <w:rPr>
                <w:rFonts w:cs="Calibri" w:cstheme="minorHAnsi"/>
                <w:sz w:val="20"/>
                <w:szCs w:val="20"/>
              </w:rPr>
            </w:pPr>
            <w:r>
              <w:rPr>
                <w:rFonts w:eastAsia="Calibri" w:cs="Calibri" w:cstheme="minorHAnsi"/>
                <w:b/>
                <w:bCs/>
                <w:kern w:val="2"/>
                <w:sz w:val="20"/>
                <w:szCs w:val="20"/>
                <w:lang w:val="lt-LT" w:eastAsia="en-US" w:bidi="ar-SA"/>
              </w:rPr>
              <w:t>MIŠKŲ ŪKIO PASKIRTIES ŽEMĖS SKLYPAI:</w:t>
            </w:r>
          </w:p>
        </w:tc>
      </w:tr>
      <w:tr>
        <w:trPr/>
        <w:tc>
          <w:tcPr>
            <w:tcW w:w="987" w:type="dxa"/>
            <w:tcBorders/>
          </w:tcPr>
          <w:p>
            <w:pPr>
              <w:pStyle w:val="ListParagraph"/>
              <w:widowControl/>
              <w:numPr>
                <w:ilvl w:val="0"/>
                <w:numId w:val="3"/>
              </w:numPr>
              <w:spacing w:lineRule="auto" w:line="240" w:before="0" w:after="0"/>
              <w:contextualSpacing/>
              <w:jc w:val="both"/>
              <w:rPr>
                <w:rFonts w:cs="Calibri" w:cstheme="minorHAnsi"/>
                <w:sz w:val="20"/>
                <w:szCs w:val="20"/>
              </w:rPr>
            </w:pPr>
            <w:r>
              <w:rPr>
                <w:rFonts w:eastAsia="Calibri" w:cs="Calibri" w:cstheme="minorHAnsi"/>
                <w:kern w:val="2"/>
                <w:sz w:val="20"/>
                <w:szCs w:val="20"/>
                <w:lang w:val="lt-LT" w:eastAsia="en-US" w:bidi="ar-SA"/>
              </w:rPr>
            </w:r>
          </w:p>
        </w:tc>
        <w:tc>
          <w:tcPr>
            <w:tcW w:w="2126" w:type="dxa"/>
            <w:tcBorders/>
          </w:tcPr>
          <w:p>
            <w:pPr>
              <w:pStyle w:val="Normal"/>
              <w:widowControl/>
              <w:spacing w:lineRule="auto" w:line="240" w:before="0" w:after="0"/>
              <w:jc w:val="both"/>
              <w:rPr>
                <w:rFonts w:cs="Calibri" w:cstheme="minorHAnsi"/>
                <w:sz w:val="20"/>
                <w:szCs w:val="20"/>
              </w:rPr>
            </w:pPr>
            <w:r>
              <w:rPr>
                <w:rFonts w:eastAsia="Calibri" w:cs="Calibri" w:cstheme="minorHAnsi"/>
                <w:kern w:val="2"/>
                <w:sz w:val="20"/>
                <w:szCs w:val="20"/>
                <w:lang w:val="lt-LT" w:eastAsia="en-US" w:bidi="ar-SA"/>
              </w:rPr>
              <w:t>6617-0006-0060</w:t>
            </w:r>
          </w:p>
        </w:tc>
        <w:tc>
          <w:tcPr>
            <w:tcW w:w="3686" w:type="dxa"/>
            <w:tcBorders/>
          </w:tcPr>
          <w:p>
            <w:pPr>
              <w:pStyle w:val="Normal"/>
              <w:widowControl/>
              <w:spacing w:lineRule="auto" w:line="240" w:before="0" w:after="0"/>
              <w:jc w:val="both"/>
              <w:rPr>
                <w:rFonts w:cs="Calibri" w:cstheme="minorHAnsi"/>
                <w:sz w:val="20"/>
                <w:szCs w:val="20"/>
              </w:rPr>
            </w:pPr>
            <w:r>
              <w:rPr>
                <w:rFonts w:eastAsia="Calibri" w:cs="Calibri" w:cstheme="minorHAnsi"/>
                <w:kern w:val="2"/>
                <w:sz w:val="20"/>
                <w:szCs w:val="20"/>
                <w:lang w:val="lt-LT" w:eastAsia="en-US" w:bidi="ar-SA"/>
              </w:rPr>
              <w:t>Panevėžio r. sav., Miežiškių sen., Noriškių k.</w:t>
            </w:r>
          </w:p>
        </w:tc>
      </w:tr>
      <w:tr>
        <w:trPr/>
        <w:tc>
          <w:tcPr>
            <w:tcW w:w="987" w:type="dxa"/>
            <w:tcBorders/>
          </w:tcPr>
          <w:p>
            <w:pPr>
              <w:pStyle w:val="ListParagraph"/>
              <w:widowControl/>
              <w:numPr>
                <w:ilvl w:val="0"/>
                <w:numId w:val="3"/>
              </w:numPr>
              <w:spacing w:lineRule="auto" w:line="240" w:before="0" w:after="0"/>
              <w:contextualSpacing/>
              <w:jc w:val="both"/>
              <w:rPr>
                <w:rFonts w:cs="Calibri" w:cstheme="minorHAnsi"/>
                <w:sz w:val="20"/>
                <w:szCs w:val="20"/>
              </w:rPr>
            </w:pPr>
            <w:r>
              <w:rPr>
                <w:rFonts w:eastAsia="Calibri" w:cs="Calibri" w:cstheme="minorHAnsi"/>
                <w:kern w:val="2"/>
                <w:sz w:val="20"/>
                <w:szCs w:val="20"/>
                <w:lang w:val="lt-LT" w:eastAsia="en-US" w:bidi="ar-SA"/>
              </w:rPr>
            </w:r>
          </w:p>
        </w:tc>
        <w:tc>
          <w:tcPr>
            <w:tcW w:w="2126" w:type="dxa"/>
            <w:tcBorders/>
          </w:tcPr>
          <w:p>
            <w:pPr>
              <w:pStyle w:val="Normal"/>
              <w:widowControl/>
              <w:spacing w:lineRule="auto" w:line="240" w:before="0" w:after="0"/>
              <w:jc w:val="both"/>
              <w:rPr>
                <w:rFonts w:cs="Calibri" w:cstheme="minorHAnsi"/>
                <w:sz w:val="20"/>
                <w:szCs w:val="20"/>
              </w:rPr>
            </w:pPr>
            <w:r>
              <w:rPr>
                <w:rFonts w:eastAsia="Calibri" w:cs="Calibri" w:cstheme="minorHAnsi"/>
                <w:kern w:val="2"/>
                <w:sz w:val="20"/>
                <w:szCs w:val="20"/>
                <w:lang w:val="lt-LT" w:eastAsia="en-US" w:bidi="ar-SA"/>
              </w:rPr>
              <w:t>4400-6807-0502</w:t>
            </w:r>
          </w:p>
        </w:tc>
        <w:tc>
          <w:tcPr>
            <w:tcW w:w="3686" w:type="dxa"/>
            <w:tcBorders/>
          </w:tcPr>
          <w:p>
            <w:pPr>
              <w:pStyle w:val="Normal"/>
              <w:widowControl/>
              <w:spacing w:lineRule="auto" w:line="240" w:before="0" w:after="0"/>
              <w:jc w:val="both"/>
              <w:rPr>
                <w:rFonts w:cs="Calibri" w:cstheme="minorHAnsi"/>
                <w:sz w:val="20"/>
                <w:szCs w:val="20"/>
              </w:rPr>
            </w:pPr>
            <w:r>
              <w:rPr>
                <w:rFonts w:eastAsia="Calibri" w:cs="Calibri" w:cstheme="minorHAnsi"/>
                <w:kern w:val="2"/>
                <w:sz w:val="20"/>
                <w:szCs w:val="20"/>
                <w:lang w:val="lt-LT" w:eastAsia="en-US" w:bidi="ar-SA"/>
              </w:rPr>
              <w:t>Anykščių r. sav., Troškūnų sen., Skauradų k.</w:t>
            </w:r>
          </w:p>
        </w:tc>
      </w:tr>
    </w:tbl>
    <w:p>
      <w:pPr>
        <w:pStyle w:val="Normal"/>
        <w:spacing w:lineRule="auto" w:line="240" w:before="0" w:after="0"/>
        <w:jc w:val="both"/>
        <w:rPr>
          <w:rFonts w:cs="Calibri" w:cstheme="minorHAnsi"/>
          <w:sz w:val="20"/>
          <w:szCs w:val="20"/>
        </w:rPr>
      </w:pPr>
      <w:r>
        <w:drawing>
          <wp:anchor distT="0" distB="0" distL="114300" distR="114300" simplePos="0" relativeHeight="6" behindDoc="0" locked="0" layoutInCell="0" allowOverlap="1">
            <wp:simplePos x="0" y="0"/>
            <wp:positionH relativeFrom="column">
              <wp:posOffset>4697095</wp:posOffset>
            </wp:positionH>
            <wp:positionV relativeFrom="paragraph">
              <wp:posOffset>31750</wp:posOffset>
            </wp:positionV>
            <wp:extent cx="2362835" cy="2362835"/>
            <wp:effectExtent l="0" t="0" r="0" b="0"/>
            <wp:wrapSquare wrapText="bothSides"/>
            <wp:docPr id="1"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7"/>
                    <pic:cNvPicPr>
                      <a:picLocks noChangeAspect="1" noChangeArrowheads="1"/>
                    </pic:cNvPicPr>
                  </pic:nvPicPr>
                  <pic:blipFill>
                    <a:blip r:embed="rId2"/>
                    <a:stretch>
                      <a:fillRect/>
                    </a:stretch>
                  </pic:blipFill>
                  <pic:spPr bwMode="auto">
                    <a:xfrm>
                      <a:off x="0" y="0"/>
                      <a:ext cx="2362835" cy="2362835"/>
                    </a:xfrm>
                    <a:prstGeom prst="rect">
                      <a:avLst/>
                    </a:prstGeom>
                    <a:noFill/>
                  </pic:spPr>
                </pic:pic>
              </a:graphicData>
            </a:graphic>
          </wp:anchor>
        </w:drawing>
      </w:r>
      <w:r>
        <w:rPr>
          <w:rFonts w:cs="Calibri" w:cstheme="minorHAnsi"/>
          <w:sz w:val="20"/>
          <w:szCs w:val="20"/>
        </w:rPr>
        <w:t xml:space="preserve">toliau visi kartu 1-2 – </w:t>
      </w:r>
      <w:r>
        <w:rPr>
          <w:rFonts w:cs="Calibri" w:cstheme="minorHAnsi"/>
          <w:b/>
          <w:bCs/>
          <w:sz w:val="20"/>
          <w:szCs w:val="20"/>
        </w:rPr>
        <w:t>Turtas</w:t>
      </w:r>
      <w:r>
        <w:rPr>
          <w:rFonts w:cs="Calibri" w:cstheme="minorHAnsi"/>
          <w:sz w:val="20"/>
          <w:szCs w:val="20"/>
        </w:rPr>
        <w:t>.</w:t>
      </w:r>
      <w:r>
        <w:rPr>
          <w:rFonts w:cs="Calibri" w:cstheme="minorHAnsi"/>
          <w:color w:themeColor="text2" w:val="44546A"/>
          <w:sz w:val="20"/>
          <w:szCs w:val="20"/>
        </w:rPr>
        <w:t xml:space="preserve"> </w:t>
      </w:r>
    </w:p>
    <w:p>
      <w:pPr>
        <w:pStyle w:val="Normal"/>
        <w:spacing w:lineRule="auto" w:line="240" w:before="0" w:after="240"/>
        <w:jc w:val="both"/>
        <w:rPr>
          <w:rFonts w:cs="Calibri" w:cstheme="minorHAnsi"/>
          <w:sz w:val="20"/>
          <w:szCs w:val="20"/>
        </w:rPr>
      </w:pPr>
      <w:r>
        <w:rPr>
          <w:rFonts w:cs="Calibri" w:cstheme="minorHAnsi"/>
          <w:sz w:val="20"/>
          <w:szCs w:val="20"/>
        </w:rPr>
        <mc:AlternateContent>
          <mc:Choice Requires="wpg">
            <w:drawing>
              <wp:anchor distT="0" distB="1270" distL="113030" distR="122555" simplePos="0" relativeHeight="2" behindDoc="0" locked="0" layoutInCell="0" allowOverlap="1" wp14:anchorId="6D7E04B0">
                <wp:simplePos x="0" y="0"/>
                <wp:positionH relativeFrom="column">
                  <wp:posOffset>7101840</wp:posOffset>
                </wp:positionH>
                <wp:positionV relativeFrom="paragraph">
                  <wp:posOffset>41910</wp:posOffset>
                </wp:positionV>
                <wp:extent cx="2695575" cy="569595"/>
                <wp:effectExtent l="1270" t="1270" r="635" b="0"/>
                <wp:wrapSquare wrapText="bothSides"/>
                <wp:docPr id="2" name="Group 7"/>
                <a:graphic xmlns:a="http://schemas.openxmlformats.org/drawingml/2006/main">
                  <a:graphicData uri="http://schemas.microsoft.com/office/word/2010/wordprocessingGroup">
                    <wpg:wgp>
                      <wpg:cNvGrpSpPr/>
                      <wpg:grpSpPr>
                        <a:xfrm>
                          <a:off x="0" y="0"/>
                          <a:ext cx="2695680" cy="569520"/>
                          <a:chOff x="0" y="0"/>
                          <a:chExt cx="2695680" cy="569520"/>
                        </a:xfrm>
                      </wpg:grpSpPr>
                      <wps:wsp>
                        <wps:cNvPr id="3" name="Rounded Rectangle 6"/>
                        <wps:cNvSpPr/>
                        <wps:spPr>
                          <a:xfrm>
                            <a:off x="0" y="0"/>
                            <a:ext cx="2695680" cy="569520"/>
                          </a:xfrm>
                          <a:prstGeom prst="roundRect">
                            <a:avLst>
                              <a:gd name="adj" fmla="val 7843"/>
                            </a:avLst>
                          </a:prstGeom>
                          <a:solidFill>
                            <a:schemeClr val="accent5">
                              <a:lumMod val="20000"/>
                              <a:lumOff val="80000"/>
                            </a:schemeClr>
                          </a:solidFill>
                          <a:ln>
                            <a:noFill/>
                          </a:ln>
                        </wps:spPr>
                        <wps:style>
                          <a:lnRef idx="2">
                            <a:schemeClr val="accent3">
                              <a:shade val="15000"/>
                            </a:schemeClr>
                          </a:lnRef>
                          <a:fillRef idx="1">
                            <a:schemeClr val="accent3"/>
                          </a:fillRef>
                          <a:effectRef idx="0">
                            <a:schemeClr val="accent3"/>
                          </a:effectRef>
                          <a:fontRef idx="minor"/>
                        </wps:style>
                        <wps:bodyPr/>
                      </wps:wsp>
                      <wps:wsp>
                        <wps:cNvPr id="4" name="2 teksto laukas"/>
                        <wps:cNvSpPr/>
                        <wps:spPr>
                          <a:xfrm>
                            <a:off x="24120" y="68760"/>
                            <a:ext cx="2646000" cy="434880"/>
                          </a:xfrm>
                          <a:prstGeom prst="rect">
                            <a:avLst/>
                          </a:prstGeom>
                          <a:noFill/>
                          <a:ln w="9525">
                            <a:noFill/>
                          </a:ln>
                        </wps:spPr>
                        <wps:style>
                          <a:lnRef idx="0"/>
                          <a:fillRef idx="0"/>
                          <a:effectRef idx="0"/>
                          <a:fontRef idx="minor"/>
                        </wps:style>
                        <wps:txbx>
                          <w:txbxContent>
                            <w:p>
                              <w:pPr>
                                <w:pStyle w:val="Normal"/>
                                <w:spacing w:before="0" w:after="160"/>
                                <w:rPr>
                                  <w:rFonts w:ascii="Aptos" w:hAnsi="Aptos" w:cs="Times New Roman"/>
                                  <w:color w:themeColor="text1" w:themeShade="bf" w:val="000000"/>
                                  <w:kern w:val="2"/>
                                  <w14:ligatures w14:val="none"/>
                                </w:rPr>
                              </w:pPr>
                              <w:r>
                                <w:rPr>
                                  <w:rFonts w:cs="Times New Roman" w:ascii="Aptos" w:hAnsi="Aptos"/>
                                  <w:color w:val="EE0000"/>
                                  <w:kern w:val="2"/>
                                </w:rPr>
                                <w:t>*</w:t>
                              </w:r>
                              <w:r>
                                <w:rPr>
                                  <w:rFonts w:cs="Times New Roman" w:ascii="Aptos" w:hAnsi="Aptos"/>
                                  <w:color w:themeColor="text1" w:themeShade="bf" w:val="000000"/>
                                  <w:kern w:val="2"/>
                                  <w:sz w:val="20"/>
                                  <w:szCs w:val="20"/>
                                </w:rPr>
                                <w:t>plius teritorija, kurioje neužtikrinta atitiktis visuomenės saugos reikalavimams.</w:t>
                              </w:r>
                            </w:p>
                          </w:txbxContent>
                        </wps:txbx>
                        <wps:bodyPr anchor="t">
                          <a:noAutofit/>
                        </wps:bodyPr>
                      </wps:wsp>
                    </wpg:wgp>
                  </a:graphicData>
                </a:graphic>
              </wp:anchor>
            </w:drawing>
          </mc:Choice>
          <mc:Fallback>
            <w:pict>
              <v:group id="shape_0" alt="Group 7" style="position:absolute;margin-left:559.2pt;margin-top:3.3pt;width:212.25pt;height:44.85pt" coordorigin="11184,66" coordsize="4245,897">
                <v:roundrect id="shape_0" fillcolor="#deebf7" stroked="f" o:allowincell="f" style="position:absolute;left:11184;top:66;width:4244;height:896;mso-wrap-style:none;v-text-anchor:middle">
                  <v:fill o:detectmouseclick="t" type="solid" color2="#211408"/>
                  <v:stroke color="#3465a4" weight="12600" joinstyle="miter" endcap="flat"/>
                  <w10:wrap type="square"/>
                </v:roundrect>
                <v:rect id="shape_0" stroked="f" o:allowincell="f" style="position:absolute;left:11222;top:174;width:4166;height:684;mso-wrap-style:square;v-text-anchor:top">
                  <v:fill o:detectmouseclick="t" on="false"/>
                  <v:stroke color="#3465a4" weight="9360" joinstyle="miter" endcap="flat"/>
                  <v:textbox>
                    <w:txbxContent>
                      <w:p>
                        <w:pPr>
                          <w:pStyle w:val="Normal"/>
                          <w:spacing w:before="0" w:after="160"/>
                          <w:rPr>
                            <w:rFonts w:ascii="Aptos" w:hAnsi="Aptos" w:cs="Times New Roman"/>
                            <w:color w:themeColor="text1" w:themeShade="bf" w:val="000000"/>
                            <w:kern w:val="2"/>
                            <w14:ligatures w14:val="none"/>
                          </w:rPr>
                        </w:pPr>
                        <w:r>
                          <w:rPr>
                            <w:rFonts w:cs="Times New Roman" w:ascii="Aptos" w:hAnsi="Aptos"/>
                            <w:color w:val="EE0000"/>
                            <w:kern w:val="2"/>
                          </w:rPr>
                          <w:t>*</w:t>
                        </w:r>
                        <w:r>
                          <w:rPr>
                            <w:rFonts w:cs="Times New Roman" w:ascii="Aptos" w:hAnsi="Aptos"/>
                            <w:color w:themeColor="text1" w:themeShade="bf" w:val="000000"/>
                            <w:kern w:val="2"/>
                            <w:sz w:val="20"/>
                            <w:szCs w:val="20"/>
                          </w:rPr>
                          <w:t>plius teritorija, kurioje neužtikrinta atitiktis visuomenės saugos reikalavimams.</w:t>
                        </w:r>
                      </w:p>
                    </w:txbxContent>
                  </v:textbox>
                  <w10:wrap type="square"/>
                </v:rect>
              </v:group>
            </w:pict>
          </mc:Fallback>
        </mc:AlternateContent>
      </w:r>
      <w:bookmarkEnd w:id="1"/>
    </w:p>
    <w:p>
      <w:pPr>
        <w:pStyle w:val="Normal"/>
        <w:spacing w:lineRule="auto" w:line="240" w:before="0" w:after="240"/>
        <w:jc w:val="both"/>
        <w:rPr>
          <w:rFonts w:cs="Calibri" w:cstheme="minorHAnsi"/>
          <w:sz w:val="20"/>
          <w:szCs w:val="20"/>
        </w:rPr>
      </w:pPr>
      <w:r>
        <mc:AlternateContent>
          <mc:Choice Requires="wpg">
            <w:drawing>
              <wp:anchor distT="0" distB="5715" distL="113665" distR="113665" simplePos="0" relativeHeight="4" behindDoc="0" locked="0" layoutInCell="0" allowOverlap="1" wp14:anchorId="23086923">
                <wp:simplePos x="0" y="0"/>
                <wp:positionH relativeFrom="column">
                  <wp:posOffset>7197725</wp:posOffset>
                </wp:positionH>
                <wp:positionV relativeFrom="paragraph">
                  <wp:posOffset>448310</wp:posOffset>
                </wp:positionV>
                <wp:extent cx="2594610" cy="946785"/>
                <wp:effectExtent l="635" t="1270" r="635" b="0"/>
                <wp:wrapSquare wrapText="bothSides"/>
                <wp:docPr id="5" name="Group 6"/>
                <a:graphic xmlns:a="http://schemas.openxmlformats.org/drawingml/2006/main">
                  <a:graphicData uri="http://schemas.microsoft.com/office/word/2010/wordprocessingGroup">
                    <wpg:wgp>
                      <wpg:cNvGrpSpPr/>
                      <wpg:grpSpPr>
                        <a:xfrm>
                          <a:off x="0" y="0"/>
                          <a:ext cx="2594520" cy="946800"/>
                          <a:chOff x="0" y="0"/>
                          <a:chExt cx="2594520" cy="946800"/>
                        </a:xfrm>
                      </wpg:grpSpPr>
                      <wps:wsp>
                        <wps:cNvPr id="6" name="Rounded Rectangle 6"/>
                        <wps:cNvSpPr/>
                        <wps:spPr>
                          <a:xfrm>
                            <a:off x="0" y="0"/>
                            <a:ext cx="2594520" cy="946800"/>
                          </a:xfrm>
                          <a:prstGeom prst="roundRect">
                            <a:avLst>
                              <a:gd name="adj" fmla="val 7843"/>
                            </a:avLst>
                          </a:prstGeom>
                          <a:solidFill>
                            <a:schemeClr val="accent5">
                              <a:lumMod val="20000"/>
                              <a:lumOff val="80000"/>
                            </a:schemeClr>
                          </a:solidFill>
                          <a:ln>
                            <a:noFill/>
                          </a:ln>
                        </wps:spPr>
                        <wps:style>
                          <a:lnRef idx="2">
                            <a:schemeClr val="accent3">
                              <a:shade val="15000"/>
                            </a:schemeClr>
                          </a:lnRef>
                          <a:fillRef idx="1">
                            <a:schemeClr val="accent3"/>
                          </a:fillRef>
                          <a:effectRef idx="0">
                            <a:schemeClr val="accent3"/>
                          </a:effectRef>
                          <a:fontRef idx="minor"/>
                        </wps:style>
                        <wps:bodyPr/>
                      </wps:wsp>
                      <wps:wsp>
                        <wps:cNvPr id="7" name="2 teksto laukas"/>
                        <wps:cNvSpPr/>
                        <wps:spPr>
                          <a:xfrm>
                            <a:off x="92880" y="48960"/>
                            <a:ext cx="2403000" cy="846360"/>
                          </a:xfrm>
                          <a:prstGeom prst="rect">
                            <a:avLst/>
                          </a:prstGeom>
                          <a:noFill/>
                          <a:ln w="9525">
                            <a:noFill/>
                          </a:ln>
                        </wps:spPr>
                        <wps:style>
                          <a:lnRef idx="0"/>
                          <a:fillRef idx="0"/>
                          <a:effectRef idx="0"/>
                          <a:fontRef idx="minor"/>
                        </wps:style>
                        <wps:txbx>
                          <w:txbxContent>
                            <w:p>
                              <w:pPr>
                                <w:pStyle w:val="Normal"/>
                                <w:rPr>
                                  <w:b/>
                                  <w:bCs/>
                                  <w:color w:themeColor="accent1" w:val="4472C4"/>
                                  <w:sz w:val="20"/>
                                  <w:szCs w:val="20"/>
                                  <w:lang w:eastAsia="en-GB"/>
                                </w:rPr>
                              </w:pPr>
                              <w:r>
                                <w:rPr>
                                  <w:b/>
                                  <w:bCs/>
                                  <w:color w:themeColor="accent1" w:val="4472C4"/>
                                  <w:sz w:val="20"/>
                                  <w:szCs w:val="20"/>
                                  <w:lang w:eastAsia="en-GB"/>
                                </w:rPr>
                                <w:t>PAAIŠKINIMAS:</w:t>
                              </w:r>
                            </w:p>
                            <w:p>
                              <w:pPr>
                                <w:pStyle w:val="Normal"/>
                                <w:spacing w:before="0" w:after="160"/>
                                <w:rPr>
                                  <w:sz w:val="18"/>
                                  <w:szCs w:val="18"/>
                                  <w:lang w:eastAsia="en-GB"/>
                                </w:rPr>
                              </w:pPr>
                              <w:r>
                                <w:rPr>
                                  <w:b/>
                                  <w:bCs/>
                                  <w:sz w:val="18"/>
                                  <w:szCs w:val="18"/>
                                  <w:lang w:eastAsia="en-GB"/>
                                </w:rPr>
                                <w:t xml:space="preserve">1H </w:t>
                              </w:r>
                              <w:r>
                                <w:rPr>
                                  <w:sz w:val="18"/>
                                  <w:szCs w:val="18"/>
                                  <w:lang w:eastAsia="en-GB"/>
                                </w:rPr>
                                <w:t>– vienas vėjo elektrinės (VE) stiebo aukštis;</w:t>
                                <w:br/>
                              </w:r>
                              <w:r>
                                <w:rPr>
                                  <w:b/>
                                  <w:bCs/>
                                  <w:sz w:val="18"/>
                                  <w:szCs w:val="18"/>
                                  <w:lang w:eastAsia="en-GB"/>
                                </w:rPr>
                                <w:t>4H</w:t>
                              </w:r>
                              <w:r>
                                <w:rPr>
                                  <w:sz w:val="18"/>
                                  <w:szCs w:val="18"/>
                                  <w:lang w:eastAsia="en-GB"/>
                                </w:rPr>
                                <w:t xml:space="preserve"> – keturių vėjo elektrinės (VE) stiebų aukštis.</w:t>
                                <w:br/>
                                <w:t>1 VE stiebo aukštis siekia 179 m</w:t>
                              </w:r>
                            </w:p>
                          </w:txbxContent>
                        </wps:txbx>
                        <wps:bodyPr anchor="t">
                          <a:noAutofit/>
                        </wps:bodyPr>
                      </wps:wsp>
                    </wpg:wgp>
                  </a:graphicData>
                </a:graphic>
              </wp:anchor>
            </w:drawing>
          </mc:Choice>
          <mc:Fallback>
            <w:pict>
              <v:group id="shape_0" alt="Group 6" style="position:absolute;margin-left:566.75pt;margin-top:35.3pt;width:204.3pt;height:74.55pt" coordorigin="11335,706" coordsize="4086,1491">
                <v:roundrect id="shape_0" fillcolor="#deebf7" stroked="f" o:allowincell="f" style="position:absolute;left:11335;top:706;width:4085;height:1490;mso-wrap-style:none;v-text-anchor:middle">
                  <v:fill o:detectmouseclick="t" type="solid" color2="#211408"/>
                  <v:stroke color="#3465a4" weight="12600" joinstyle="miter" endcap="flat"/>
                  <w10:wrap type="square"/>
                </v:roundrect>
                <v:rect id="shape_0" stroked="f" o:allowincell="f" style="position:absolute;left:11481;top:783;width:3783;height:1332;mso-wrap-style:square;v-text-anchor:top">
                  <v:fill o:detectmouseclick="t" on="false"/>
                  <v:stroke color="#3465a4" weight="9360" joinstyle="miter" endcap="flat"/>
                  <v:textbox>
                    <w:txbxContent>
                      <w:p>
                        <w:pPr>
                          <w:pStyle w:val="Normal"/>
                          <w:rPr>
                            <w:b/>
                            <w:bCs/>
                            <w:color w:themeColor="accent1" w:val="4472C4"/>
                            <w:sz w:val="20"/>
                            <w:szCs w:val="20"/>
                            <w:lang w:eastAsia="en-GB"/>
                          </w:rPr>
                        </w:pPr>
                        <w:r>
                          <w:rPr>
                            <w:b/>
                            <w:bCs/>
                            <w:color w:themeColor="accent1" w:val="4472C4"/>
                            <w:sz w:val="20"/>
                            <w:szCs w:val="20"/>
                            <w:lang w:eastAsia="en-GB"/>
                          </w:rPr>
                          <w:t>PAAIŠKINIMAS:</w:t>
                        </w:r>
                      </w:p>
                      <w:p>
                        <w:pPr>
                          <w:pStyle w:val="Normal"/>
                          <w:spacing w:before="0" w:after="160"/>
                          <w:rPr>
                            <w:sz w:val="18"/>
                            <w:szCs w:val="18"/>
                            <w:lang w:eastAsia="en-GB"/>
                          </w:rPr>
                        </w:pPr>
                        <w:r>
                          <w:rPr>
                            <w:b/>
                            <w:bCs/>
                            <w:sz w:val="18"/>
                            <w:szCs w:val="18"/>
                            <w:lang w:eastAsia="en-GB"/>
                          </w:rPr>
                          <w:t xml:space="preserve">1H </w:t>
                        </w:r>
                        <w:r>
                          <w:rPr>
                            <w:sz w:val="18"/>
                            <w:szCs w:val="18"/>
                            <w:lang w:eastAsia="en-GB"/>
                          </w:rPr>
                          <w:t>– vienas vėjo elektrinės (VE) stiebo aukštis;</w:t>
                          <w:br/>
                        </w:r>
                        <w:r>
                          <w:rPr>
                            <w:b/>
                            <w:bCs/>
                            <w:sz w:val="18"/>
                            <w:szCs w:val="18"/>
                            <w:lang w:eastAsia="en-GB"/>
                          </w:rPr>
                          <w:t>4H</w:t>
                        </w:r>
                        <w:r>
                          <w:rPr>
                            <w:sz w:val="18"/>
                            <w:szCs w:val="18"/>
                            <w:lang w:eastAsia="en-GB"/>
                          </w:rPr>
                          <w:t xml:space="preserve"> – keturių vėjo elektrinės (VE) stiebų aukštis.</w:t>
                          <w:br/>
                          <w:t>1 VE stiebo aukštis siekia 179 m</w:t>
                        </w:r>
                      </w:p>
                    </w:txbxContent>
                  </v:textbox>
                  <w10:wrap type="square"/>
                </v:rect>
              </v:group>
            </w:pict>
          </mc:Fallback>
        </mc:AlternateContent>
      </w:r>
      <w:r>
        <w:rPr>
          <w:rFonts w:cs="Calibri" w:cstheme="minorHAnsi"/>
          <w:sz w:val="20"/>
          <w:szCs w:val="20"/>
        </w:rPr>
        <w:t>Turtas (paveikslėlyje pažymėta žalia spalva arba mėlynu namu) patenka į teritoriją, esančią tarp teritorijos su statybos apribojimais</w:t>
      </w:r>
      <w:r>
        <w:rPr>
          <w:rStyle w:val="FootnoteReference"/>
          <w:rFonts w:cs="Calibri" w:cstheme="minorHAnsi"/>
          <w:sz w:val="20"/>
          <w:szCs w:val="20"/>
        </w:rPr>
        <w:footnoteReference w:id="2"/>
      </w:r>
      <w:r>
        <w:rPr>
          <w:rFonts w:cs="Calibri" w:cstheme="minorHAnsi"/>
          <w:sz w:val="20"/>
          <w:szCs w:val="20"/>
        </w:rPr>
        <w:t xml:space="preserve"> ir atstumo, kurį sudaro UAB „Troškūnų vėjas“ (toliau – </w:t>
      </w:r>
      <w:r>
        <w:rPr>
          <w:rFonts w:cs="Calibri" w:cstheme="minorHAnsi"/>
          <w:b/>
          <w:bCs/>
          <w:sz w:val="20"/>
          <w:szCs w:val="20"/>
        </w:rPr>
        <w:t>Bendrovė</w:t>
      </w:r>
      <w:r>
        <w:rPr>
          <w:rFonts w:cs="Calibri" w:cstheme="minorHAnsi"/>
          <w:sz w:val="20"/>
          <w:szCs w:val="20"/>
        </w:rPr>
        <w:t>)</w:t>
      </w:r>
      <w:r>
        <w:rPr>
          <w:rFonts w:cs="Calibri" w:cstheme="minorHAnsi"/>
          <w:b/>
          <w:bCs/>
          <w:sz w:val="20"/>
          <w:szCs w:val="20"/>
        </w:rPr>
        <w:t xml:space="preserve"> </w:t>
      </w:r>
      <w:r>
        <w:rPr>
          <w:rFonts w:cs="Calibri" w:cstheme="minorHAnsi"/>
          <w:sz w:val="20"/>
          <w:szCs w:val="20"/>
        </w:rPr>
        <w:t xml:space="preserve">planuojamų statyti didesnių kaip 30 kW įrengtosios galios vėjo elektrinių stiebo aukštis metrais, padaugintas iš 4 (paveikslėlyje pažymėta šviesiai mėlyna teritorija), (toliau – </w:t>
      </w:r>
      <w:r>
        <w:rPr>
          <w:rFonts w:cs="Calibri" w:cstheme="minorHAnsi"/>
          <w:b/>
          <w:bCs/>
          <w:sz w:val="20"/>
          <w:szCs w:val="20"/>
        </w:rPr>
        <w:t>Galimų ribojimų teritorija</w:t>
      </w:r>
      <w:r>
        <w:rPr>
          <w:rFonts w:cs="Calibri" w:cstheme="minorHAnsi"/>
          <w:sz w:val="20"/>
          <w:szCs w:val="20"/>
        </w:rPr>
        <w:t>). UAB „Troškūnų vėjas“, kaip Bendrovė suinteresuota energijos gamybos šiose didesnėse kaip 30 kW įrengtosios galios vėjo elektrinėse vykdymu, skelbia šią informaciją apie planuojamą vėjo elektrinių parko statybą ir elektros energijos gamybos jame veiklą:</w:t>
      </w:r>
    </w:p>
    <w:tbl>
      <w:tblPr>
        <w:tblStyle w:val="Lentelstinklelis"/>
        <w:tblW w:w="15163" w:type="dxa"/>
        <w:jc w:val="start"/>
        <w:tblInd w:w="0" w:type="dxa"/>
        <w:tblLayout w:type="fixed"/>
        <w:tblCellMar>
          <w:top w:w="0" w:type="dxa"/>
          <w:start w:w="108" w:type="dxa"/>
          <w:bottom w:w="0" w:type="dxa"/>
          <w:end w:w="108" w:type="dxa"/>
        </w:tblCellMar>
        <w:tblLook w:val="04a0" w:firstRow="1" w:noVBand="1" w:lastRow="0" w:firstColumn="1" w:lastColumn="0" w:noHBand="0"/>
      </w:tblPr>
      <w:tblGrid>
        <w:gridCol w:w="3114"/>
        <w:gridCol w:w="12049"/>
      </w:tblGrid>
      <w:tr>
        <w:trPr/>
        <w:tc>
          <w:tcPr>
            <w:tcW w:w="3114" w:type="dxa"/>
            <w:tcBorders/>
          </w:tcPr>
          <w:p>
            <w:pPr>
              <w:pStyle w:val="Normal"/>
              <w:widowControl/>
              <w:spacing w:lineRule="auto" w:line="240" w:before="0" w:after="0"/>
              <w:jc w:val="start"/>
              <w:rPr>
                <w:rFonts w:cs="Calibri" w:cstheme="minorHAnsi"/>
                <w:b/>
                <w:bCs/>
                <w:sz w:val="20"/>
                <w:szCs w:val="20"/>
              </w:rPr>
            </w:pPr>
            <w:r>
              <w:rPr>
                <w:rFonts w:eastAsia="Calibri" w:cs="Calibri" w:cstheme="minorHAnsi"/>
                <w:b/>
                <w:bCs/>
                <w:kern w:val="2"/>
                <w:sz w:val="20"/>
                <w:szCs w:val="20"/>
                <w:lang w:val="lt-LT" w:eastAsia="en-US" w:bidi="ar-SA"/>
              </w:rPr>
              <w:t>Numatoma vykdyti veikla</w:t>
            </w:r>
          </w:p>
        </w:tc>
        <w:tc>
          <w:tcPr>
            <w:tcW w:w="12049" w:type="dxa"/>
            <w:tcBorders/>
          </w:tcPr>
          <w:p>
            <w:pPr>
              <w:pStyle w:val="Normal"/>
              <w:widowControl/>
              <w:spacing w:lineRule="auto" w:line="240" w:before="0" w:after="0"/>
              <w:jc w:val="both"/>
              <w:rPr>
                <w:rFonts w:cs="Calibri" w:cstheme="minorHAnsi"/>
                <w:sz w:val="20"/>
                <w:szCs w:val="20"/>
              </w:rPr>
            </w:pPr>
            <w:r>
              <w:rPr>
                <w:rFonts w:eastAsia="Calibri" w:cs="Calibri" w:cstheme="minorHAnsi"/>
                <w:kern w:val="2"/>
                <w:sz w:val="20"/>
                <w:szCs w:val="20"/>
                <w:lang w:val="lt-LT" w:eastAsia="en-US" w:bidi="ar-SA"/>
              </w:rPr>
              <w:t>Iki 8 000 kW įrengtosios galios vėjo elektrinės ir jai reikalingų inžinierinių tinklų statyba ir elektros energijos gamyba iki 8 000 kW įrengtosios galios vėjo elektrinėje</w:t>
            </w:r>
          </w:p>
        </w:tc>
      </w:tr>
      <w:tr>
        <w:trPr/>
        <w:tc>
          <w:tcPr>
            <w:tcW w:w="3114" w:type="dxa"/>
            <w:tcBorders/>
          </w:tcPr>
          <w:p>
            <w:pPr>
              <w:pStyle w:val="Normal"/>
              <w:widowControl/>
              <w:spacing w:lineRule="auto" w:line="240" w:before="0" w:after="0"/>
              <w:jc w:val="start"/>
              <w:rPr>
                <w:rFonts w:cs="Calibri" w:cstheme="minorHAnsi"/>
                <w:b/>
                <w:bCs/>
                <w:sz w:val="20"/>
                <w:szCs w:val="20"/>
              </w:rPr>
            </w:pPr>
            <w:r>
              <w:rPr>
                <w:rFonts w:eastAsia="Calibri" w:cs="Calibri" w:cstheme="minorHAnsi"/>
                <w:b/>
                <w:bCs/>
                <w:kern w:val="2"/>
                <w:sz w:val="20"/>
                <w:szCs w:val="20"/>
                <w:lang w:val="lt-LT" w:eastAsia="en-US" w:bidi="ar-SA"/>
              </w:rPr>
              <w:t>Vienos vėjo elektrinės įrengtoji galia, stiebo aukštis</w:t>
            </w:r>
          </w:p>
        </w:tc>
        <w:tc>
          <w:tcPr>
            <w:tcW w:w="12049" w:type="dxa"/>
            <w:tcBorders/>
          </w:tcPr>
          <w:p>
            <w:pPr>
              <w:pStyle w:val="Normal"/>
              <w:widowControl/>
              <w:spacing w:lineRule="auto" w:line="240" w:before="0" w:after="0"/>
              <w:jc w:val="both"/>
              <w:rPr>
                <w:rFonts w:cs="Calibri" w:cstheme="minorHAnsi"/>
                <w:sz w:val="20"/>
                <w:szCs w:val="20"/>
              </w:rPr>
            </w:pPr>
            <w:r>
              <w:rPr>
                <w:rFonts w:eastAsia="Calibri" w:cs="Calibri" w:cstheme="minorHAnsi"/>
                <w:kern w:val="2"/>
                <w:sz w:val="20"/>
                <w:szCs w:val="20"/>
                <w:lang w:val="lt-LT" w:eastAsia="en-US" w:bidi="ar-SA"/>
              </w:rPr>
              <w:t>Iki 8 000 kW, stiebo aukštis iki 179 m</w:t>
            </w:r>
          </w:p>
        </w:tc>
      </w:tr>
      <w:tr>
        <w:trPr/>
        <w:tc>
          <w:tcPr>
            <w:tcW w:w="3114" w:type="dxa"/>
            <w:tcBorders/>
          </w:tcPr>
          <w:p>
            <w:pPr>
              <w:pStyle w:val="Normal"/>
              <w:widowControl/>
              <w:spacing w:lineRule="auto" w:line="240" w:before="0" w:after="0"/>
              <w:jc w:val="start"/>
              <w:rPr>
                <w:rFonts w:cs="Calibri" w:cstheme="minorHAnsi"/>
                <w:b/>
                <w:bCs/>
                <w:sz w:val="20"/>
                <w:szCs w:val="20"/>
              </w:rPr>
            </w:pPr>
            <w:r>
              <w:rPr>
                <w:rFonts w:eastAsia="Calibri" w:cs="Calibri" w:cstheme="minorHAnsi"/>
                <w:b/>
                <w:bCs/>
                <w:kern w:val="2"/>
                <w:sz w:val="20"/>
                <w:szCs w:val="20"/>
                <w:lang w:val="lt-LT" w:eastAsia="en-US" w:bidi="ar-SA"/>
              </w:rPr>
              <w:t>Veiklos vykdymo teritorija ir jos plotas, adresas</w:t>
            </w:r>
          </w:p>
        </w:tc>
        <w:tc>
          <w:tcPr>
            <w:tcW w:w="12049" w:type="dxa"/>
            <w:tcBorders/>
          </w:tcPr>
          <w:p>
            <w:pPr>
              <w:pStyle w:val="Normal"/>
              <w:widowControl/>
              <w:spacing w:lineRule="auto" w:line="240" w:before="0" w:after="0"/>
              <w:jc w:val="both"/>
              <w:rPr>
                <w:rFonts w:cs="Calibri" w:cstheme="minorHAnsi"/>
                <w:sz w:val="20"/>
                <w:szCs w:val="20"/>
              </w:rPr>
            </w:pPr>
            <w:r>
              <w:rPr>
                <w:rFonts w:eastAsia="Calibri" w:cs="Calibri" w:cstheme="minorHAnsi"/>
                <w:kern w:val="2"/>
                <w:sz w:val="20"/>
                <w:szCs w:val="20"/>
                <w:lang w:val="lt-LT" w:eastAsia="en-US" w:bidi="ar-SA"/>
              </w:rPr>
              <w:t>T06 žemės sklypo unikalus Nr. 4400-6774-5117, teritorijos plotas 0.2000 ha, adresas Panevėžio r. sav., Miežiškių sen., Jočiūnų k.;</w:t>
            </w:r>
          </w:p>
          <w:p>
            <w:pPr>
              <w:pStyle w:val="Normal"/>
              <w:widowControl/>
              <w:spacing w:lineRule="auto" w:line="240" w:before="0" w:after="0"/>
              <w:jc w:val="both"/>
              <w:rPr>
                <w:rFonts w:cs="Calibri" w:cstheme="minorHAnsi"/>
                <w:sz w:val="20"/>
                <w:szCs w:val="20"/>
              </w:rPr>
            </w:pPr>
            <w:r>
              <w:rPr>
                <w:rFonts w:eastAsia="Calibri" w:cs="Calibri" w:cstheme="minorHAnsi"/>
                <w:kern w:val="2"/>
                <w:sz w:val="20"/>
                <w:szCs w:val="20"/>
                <w:lang w:val="lt-LT" w:eastAsia="en-US" w:bidi="ar-SA"/>
              </w:rPr>
              <w:t>T13 žemės sklypo unikalus Nr. 4400-6804-3181, teritorijos plotas 0.2000 ha, adresas Panevėžio r. sav., Miežiškių sen., Jočiūnų k.;</w:t>
            </w:r>
          </w:p>
          <w:p>
            <w:pPr>
              <w:pStyle w:val="Normal"/>
              <w:widowControl/>
              <w:spacing w:lineRule="auto" w:line="240" w:before="0" w:after="0"/>
              <w:jc w:val="both"/>
              <w:rPr>
                <w:rFonts w:cs="Calibri" w:cstheme="minorHAnsi"/>
                <w:sz w:val="20"/>
                <w:szCs w:val="20"/>
              </w:rPr>
            </w:pPr>
            <w:r>
              <w:rPr>
                <w:rFonts w:eastAsia="Calibri" w:cs="Calibri" w:cstheme="minorHAnsi"/>
                <w:kern w:val="2"/>
                <w:sz w:val="20"/>
                <w:szCs w:val="20"/>
                <w:lang w:val="lt-LT" w:eastAsia="en-US" w:bidi="ar-SA"/>
              </w:rPr>
              <w:t>T24</w:t>
            </w:r>
            <w:r>
              <w:rPr>
                <w:rFonts w:eastAsia="Calibri" w:cs=""/>
                <w:kern w:val="2"/>
                <w:sz w:val="22"/>
                <w:szCs w:val="22"/>
                <w:lang w:val="lt-LT" w:eastAsia="en-US" w:bidi="ar-SA"/>
              </w:rPr>
              <w:t xml:space="preserve"> </w:t>
            </w:r>
            <w:r>
              <w:rPr>
                <w:rFonts w:eastAsia="Calibri" w:cs="Calibri" w:cstheme="minorHAnsi"/>
                <w:kern w:val="2"/>
                <w:sz w:val="20"/>
                <w:szCs w:val="20"/>
                <w:lang w:val="lt-LT" w:eastAsia="en-US" w:bidi="ar-SA"/>
              </w:rPr>
              <w:t>žemės sklypo unikalus Nr. 4400-2856-0130, teritorijos plotas 11.9016 ha, adresas Anykščių r. sav., Troškūnų sen., Skauradų k.</w:t>
            </w:r>
          </w:p>
        </w:tc>
      </w:tr>
      <w:tr>
        <w:trPr/>
        <w:tc>
          <w:tcPr>
            <w:tcW w:w="3114" w:type="dxa"/>
            <w:tcBorders/>
          </w:tcPr>
          <w:p>
            <w:pPr>
              <w:pStyle w:val="Normal"/>
              <w:widowControl/>
              <w:spacing w:lineRule="auto" w:line="240" w:before="0" w:after="0"/>
              <w:jc w:val="start"/>
              <w:rPr>
                <w:rFonts w:cs="Calibri" w:cstheme="minorHAnsi"/>
                <w:b/>
                <w:bCs/>
                <w:sz w:val="20"/>
                <w:szCs w:val="20"/>
              </w:rPr>
            </w:pPr>
            <w:r>
              <w:rPr>
                <w:rFonts w:eastAsia="Calibri" w:cs="Calibri" w:cstheme="minorHAnsi"/>
                <w:b/>
                <w:bCs/>
                <w:kern w:val="2"/>
                <w:sz w:val="20"/>
                <w:szCs w:val="20"/>
                <w:lang w:val="lt-LT" w:eastAsia="en-US" w:bidi="ar-SA"/>
              </w:rPr>
              <w:t>Galimi apribojimai dėl naujų pastatų statybos ir (ar) patalpų įrengimo, teritorijų rekreacijai planavimo</w:t>
            </w:r>
          </w:p>
        </w:tc>
        <w:tc>
          <w:tcPr>
            <w:tcW w:w="12049" w:type="dxa"/>
            <w:tcBorders/>
          </w:tcPr>
          <w:p>
            <w:pPr>
              <w:pStyle w:val="NormalWeb"/>
              <w:widowControl/>
              <w:shd w:val="clear" w:color="auto" w:fill="FFFFFF" w:themeFill="background1"/>
              <w:spacing w:before="0" w:after="280"/>
              <w:jc w:val="both"/>
              <w:rPr>
                <w:rFonts w:ascii="Calibri" w:hAnsi="Calibri" w:cs="Calibri" w:asciiTheme="minorHAnsi" w:cstheme="minorHAnsi" w:hAnsiTheme="minorHAnsi"/>
                <w:color w:val="222222"/>
                <w:sz w:val="20"/>
                <w:szCs w:val="20"/>
              </w:rPr>
            </w:pPr>
            <w:r>
              <w:rPr>
                <w:rFonts w:cs="Calibri" w:ascii="Calibri" w:hAnsi="Calibri" w:asciiTheme="minorHAnsi" w:cstheme="minorHAnsi" w:hAnsiTheme="minorHAnsi"/>
                <w:sz w:val="20"/>
                <w:szCs w:val="20"/>
                <w:lang w:val="lt-LT" w:bidi="ar-SA"/>
              </w:rPr>
              <w:t xml:space="preserve">Dėl nurodytos Bendrovės numatomos vykdyti veiklos Galimų ribojimų teritorijoje, į kurią patenka Turtas, kurio unikalus Nr. </w:t>
            </w:r>
            <w:r>
              <w:rPr>
                <w:rFonts w:cs="Calibri" w:ascii="Calibri" w:hAnsi="Calibri" w:asciiTheme="minorHAnsi" w:cstheme="minorHAnsi" w:hAnsiTheme="minorHAnsi"/>
                <w:b/>
                <w:bCs/>
                <w:sz w:val="20"/>
                <w:szCs w:val="20"/>
                <w:lang w:val="lt-LT" w:bidi="ar-SA"/>
              </w:rPr>
              <w:t xml:space="preserve">6617-0006-0060; 4400-6807-0502, </w:t>
            </w:r>
            <w:r>
              <w:rPr>
                <w:rFonts w:cs="Calibri" w:ascii="Calibri" w:hAnsi="Calibri" w:asciiTheme="minorHAnsi" w:cstheme="minorHAnsi" w:hAnsiTheme="minorHAnsi"/>
                <w:sz w:val="20"/>
                <w:szCs w:val="20"/>
                <w:lang w:val="lt-LT" w:bidi="ar-SA"/>
              </w:rPr>
              <w:t xml:space="preserve">nebus galimos šios veiklos: </w:t>
            </w:r>
            <w:r>
              <w:rPr>
                <w:rFonts w:cs="Calibri" w:ascii="Calibri" w:hAnsi="Calibri" w:asciiTheme="minorHAnsi" w:cstheme="minorHAnsi" w:hAnsiTheme="minorHAnsi"/>
                <w:color w:val="222222"/>
                <w:sz w:val="20"/>
                <w:szCs w:val="20"/>
                <w:lang w:val="lt-LT" w:bidi="ar-SA"/>
              </w:rPr>
              <w:t>naujų sodo namų, gyvenamosios, viešbučių, kultūros paskirties pastatų, bendrojo ugdymo, profesinių, aukštųjų mokyklų, vaikų darželių, lopšelių, mokslo paskirties pastatų, skirtų švietimo reikmėms, kitų mokslo paskirties pastatų, skirtų neformaliajam švietimui, poilsio, gydymo, sporto ir religinės paskirties pastatų, specialiosios paskirties pastatų, susijusių su apgyvendinimu (kareivinių pastatų, laisvės atėmimo vietų įstaigų), pastatų statyba, taip pat aukščiau nurodytos paskirties patalpų įrengimas kitos paskirties statiniuose ir (ar) rekonstruojant arba remontuojant statinius, keičiant statinių ir (ar) patalpų paskirtį į aukščiau nurodytą paskirtį, teritorijų planavimas rekreacijai ir aukščiau nurodytos paskirties objektų statybai, išskyrus atvejus, kai šie objektai naudojami tik ūkininko ar įmonės, vykdančios veiklą kitos nei aukščiau nurodytos paskirties pastatuose (patalpose), ūkinės veiklos ir (ar) darbuotojų saugos ir sveikatos reikmėms (LR atsinaujinančių išteklių energetikos įstatymo 49 str. 10 ir 11 d.).</w:t>
            </w:r>
          </w:p>
          <w:p>
            <w:pPr>
              <w:pStyle w:val="NormalWeb"/>
              <w:widowControl/>
              <w:shd w:val="clear" w:color="auto" w:fill="FFFFFF"/>
              <w:spacing w:beforeAutospacing="0" w:before="0" w:afterAutospacing="0" w:after="0"/>
              <w:jc w:val="both"/>
              <w:rPr>
                <w:rFonts w:ascii="Calibri" w:hAnsi="Calibri" w:cs="Calibri" w:asciiTheme="minorHAnsi" w:cstheme="minorHAnsi" w:hAnsiTheme="minorHAnsi"/>
                <w:color w:val="222222"/>
                <w:sz w:val="20"/>
                <w:szCs w:val="20"/>
              </w:rPr>
            </w:pPr>
            <w:r>
              <w:rPr>
                <w:rFonts w:cs="Calibri" w:ascii="Calibri" w:hAnsi="Calibri" w:asciiTheme="minorHAnsi" w:cstheme="minorHAnsi" w:hAnsiTheme="minorHAnsi"/>
                <w:color w:val="222222"/>
                <w:sz w:val="20"/>
                <w:szCs w:val="20"/>
                <w:lang w:val="lt-LT" w:bidi="ar-SA"/>
              </w:rPr>
              <w:t>Aukščiau nurodytų veiklų apribojimas Galimų ribojimų teritorijoje netaikomas ir šios veiklos bus galimos šiais atvejais</w:t>
            </w:r>
            <w:r>
              <w:rPr>
                <w:rFonts w:cs="Calibri" w:ascii="Calibri" w:hAnsi="Calibri" w:asciiTheme="minorHAnsi" w:cstheme="minorHAnsi" w:hAnsiTheme="minorHAnsi"/>
                <w:b/>
                <w:bCs/>
                <w:color w:val="222222"/>
                <w:sz w:val="20"/>
                <w:szCs w:val="20"/>
                <w:lang w:val="lt-LT" w:bidi="ar-SA"/>
              </w:rPr>
              <w:t xml:space="preserve"> </w:t>
            </w:r>
            <w:r>
              <w:rPr>
                <w:rFonts w:cs="Calibri" w:ascii="Calibri" w:hAnsi="Calibri" w:asciiTheme="minorHAnsi" w:cstheme="minorHAnsi" w:hAnsiTheme="minorHAnsi"/>
                <w:color w:val="222222"/>
                <w:sz w:val="20"/>
                <w:szCs w:val="20"/>
                <w:lang w:val="lt-LT" w:bidi="ar-SA"/>
              </w:rPr>
              <w:t>(LR atsinaujinančių išteklių energetikos įstatymo 49 str. 12 d. ir 13 d.):</w:t>
            </w:r>
          </w:p>
          <w:p>
            <w:pPr>
              <w:pStyle w:val="NormalWeb"/>
              <w:widowControl/>
              <w:numPr>
                <w:ilvl w:val="0"/>
                <w:numId w:val="1"/>
              </w:numPr>
              <w:shd w:val="clear" w:color="auto" w:fill="FFFFFF"/>
              <w:spacing w:beforeAutospacing="0" w:before="0" w:afterAutospacing="0" w:after="0"/>
              <w:jc w:val="both"/>
              <w:rPr>
                <w:rFonts w:ascii="Calibri" w:hAnsi="Calibri" w:cs="Calibri" w:asciiTheme="minorHAnsi" w:cstheme="minorHAnsi" w:hAnsiTheme="minorHAnsi"/>
                <w:color w:val="222222"/>
                <w:sz w:val="20"/>
                <w:szCs w:val="20"/>
              </w:rPr>
            </w:pPr>
            <w:r>
              <w:rPr>
                <w:rFonts w:cs="Calibri" w:ascii="Calibri" w:hAnsi="Calibri" w:asciiTheme="minorHAnsi" w:cstheme="minorHAnsi" w:hAnsiTheme="minorHAnsi"/>
                <w:color w:val="222222"/>
                <w:sz w:val="20"/>
                <w:szCs w:val="20"/>
                <w:lang w:val="lt-LT" w:bidi="ar-SA"/>
              </w:rPr>
              <w:t>Jei atlikus planuojamos elektros energijos gamybos didesnės kaip 30 kW įrengtosios galios vėjo elektrinėje poveikio aplinkai ir (ar) visuomenės sveikatai vertinimo procedūras, bus nustatyta, kad kai kuriuose žemės sklypuose, patenkančiuose į Galimų ribojimų teritoriją, atitiktis visuomenės sveikatos saugos reikalavimams yra užtikrinama;</w:t>
            </w:r>
          </w:p>
          <w:p>
            <w:pPr>
              <w:pStyle w:val="NormalWeb"/>
              <w:widowControl/>
              <w:numPr>
                <w:ilvl w:val="0"/>
                <w:numId w:val="1"/>
              </w:numPr>
              <w:shd w:val="clear" w:color="auto" w:fill="FFFFFF" w:themeFill="background1"/>
              <w:spacing w:beforeAutospacing="0" w:before="0" w:afterAutospacing="0" w:after="0"/>
              <w:jc w:val="both"/>
              <w:rPr>
                <w:rFonts w:ascii="Calibri" w:hAnsi="Calibri" w:cs="Calibri" w:asciiTheme="minorHAnsi" w:cstheme="minorHAnsi" w:hAnsiTheme="minorHAnsi"/>
                <w:sz w:val="20"/>
                <w:szCs w:val="20"/>
              </w:rPr>
            </w:pPr>
            <w:r>
              <w:rPr>
                <w:rFonts w:cs="Calibri" w:ascii="Calibri" w:hAnsi="Calibri" w:asciiTheme="minorHAnsi" w:cstheme="minorHAnsi" w:hAnsiTheme="minorHAnsi"/>
                <w:color w:val="222222"/>
                <w:sz w:val="20"/>
                <w:szCs w:val="20"/>
                <w:lang w:val="lt-LT" w:bidi="ar-SA"/>
              </w:rPr>
              <w:t>Esant objektyviems pagrindams, Bendrovei raštu įsipareigojus naujų nurodytos paskirties pastatų, patalpų statytojui ar asmeniui, planuojančiam tokios paskirties patalpų įrengimą ar teritorijas rekreacijai, užtikrinti atitiktį visuomenės sveikatos saugos reikalavimams.</w:t>
            </w:r>
          </w:p>
          <w:p>
            <w:pPr>
              <w:pStyle w:val="NormalWeb"/>
              <w:widowControl/>
              <w:shd w:val="clear" w:color="auto" w:fill="FFFFFF" w:themeFill="background1"/>
              <w:spacing w:before="280" w:after="0"/>
              <w:jc w:val="both"/>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lang w:val="lt-LT" w:bidi="ar-SA"/>
              </w:rPr>
              <w:t xml:space="preserve">Dėl nurodytos Bendrovės numatomos vykdyti veiklos Galimų ribojimų teritorijoje, į kurią patenka Turtas </w:t>
            </w:r>
            <w:r>
              <w:rPr>
                <w:rFonts w:cs="Calibri" w:ascii="Calibri" w:hAnsi="Calibri" w:asciiTheme="minorHAnsi" w:cstheme="minorHAnsi" w:hAnsiTheme="minorHAnsi"/>
                <w:b/>
                <w:bCs/>
                <w:sz w:val="20"/>
                <w:szCs w:val="20"/>
                <w:lang w:val="lt-LT" w:bidi="ar-SA"/>
              </w:rPr>
              <w:t xml:space="preserve">6617-0006-0060; 4400-6807-0502, </w:t>
            </w:r>
            <w:r>
              <w:rPr>
                <w:rFonts w:cs="Calibri" w:ascii="Calibri" w:hAnsi="Calibri" w:asciiTheme="minorHAnsi" w:cstheme="minorHAnsi" w:hAnsiTheme="minorHAnsi"/>
                <w:sz w:val="20"/>
                <w:szCs w:val="20"/>
                <w:lang w:val="lt-LT" w:bidi="ar-SA"/>
              </w:rPr>
              <w:t xml:space="preserve">projekto vystytojas privalo informuoti pastatų savininkus ir visais atvejais su jais sudaryti susitarimą dėl atitikties visuomenės sveikatos saugos reikalavimams užtikrinimo </w:t>
            </w:r>
            <w:r>
              <w:rPr>
                <w:rFonts w:cs="Calibri" w:ascii="Calibri" w:hAnsi="Calibri" w:asciiTheme="minorHAnsi" w:cstheme="minorHAnsi" w:hAnsiTheme="minorHAnsi"/>
                <w:color w:val="222222"/>
                <w:sz w:val="20"/>
                <w:szCs w:val="20"/>
                <w:lang w:val="lt-LT" w:bidi="ar-SA"/>
              </w:rPr>
              <w:t>(LR atsinaujinančių išteklių energetikos įstatymo 49 str. 12 d.)</w:t>
            </w:r>
            <w:r>
              <w:rPr>
                <w:rFonts w:cs="Calibri" w:ascii="Calibri" w:hAnsi="Calibri" w:asciiTheme="minorHAnsi" w:cstheme="minorHAnsi" w:hAnsiTheme="minorHAnsi"/>
                <w:sz w:val="20"/>
                <w:szCs w:val="20"/>
                <w:lang w:val="lt-LT" w:bidi="ar-SA"/>
              </w:rPr>
              <w:t>.</w:t>
            </w:r>
          </w:p>
        </w:tc>
      </w:tr>
    </w:tbl>
    <w:p>
      <w:pPr>
        <w:pStyle w:val="Normal"/>
        <w:spacing w:before="240" w:after="160"/>
        <w:ind w:hanging="360" w:start="720"/>
        <w:jc w:val="both"/>
        <w:rPr>
          <w:rFonts w:cs="Calibri" w:cstheme="minorHAnsi"/>
          <w:b/>
          <w:bCs/>
          <w:sz w:val="20"/>
          <w:szCs w:val="20"/>
        </w:rPr>
      </w:pPr>
      <w:r>
        <w:rPr>
          <w:rFonts w:cs="Calibri" w:cstheme="minorHAnsi"/>
          <w:b/>
          <w:bCs/>
          <w:sz w:val="20"/>
          <w:szCs w:val="20"/>
        </w:rPr>
        <w:t>JŪSŲ TEISĖS IR PAREIGOS</w:t>
      </w:r>
    </w:p>
    <w:p>
      <w:pPr>
        <w:pStyle w:val="Normal"/>
        <w:ind w:start="357"/>
        <w:jc w:val="both"/>
        <w:rPr>
          <w:rStyle w:val="cf11"/>
          <w:rFonts w:ascii="Calibri" w:hAnsi="Calibri" w:cs="Calibri" w:asciiTheme="minorHAnsi" w:cstheme="minorHAnsi" w:hAnsiTheme="minorHAnsi"/>
          <w:color w:val="000000"/>
          <w:sz w:val="20"/>
          <w:szCs w:val="20"/>
        </w:rPr>
      </w:pPr>
      <w:r>
        <w:rPr>
          <w:rStyle w:val="cf01"/>
          <w:rFonts w:cs="Calibri" w:cstheme="minorHAnsi"/>
          <w:b/>
          <w:bCs/>
          <w:color w:themeColor="accent1" w:val="4472C4"/>
          <w:sz w:val="20"/>
          <w:szCs w:val="20"/>
        </w:rPr>
        <w:t>Jūsų teisės ir pareigos</w:t>
      </w:r>
      <w:r>
        <w:rPr>
          <w:rStyle w:val="cf01"/>
          <w:rFonts w:cs="Calibri" w:cstheme="minorHAnsi"/>
          <w:b/>
          <w:bCs/>
          <w:sz w:val="20"/>
          <w:szCs w:val="20"/>
        </w:rPr>
        <w:t xml:space="preserve">, </w:t>
      </w:r>
      <w:r>
        <w:rPr>
          <w:rStyle w:val="cf01"/>
          <w:rFonts w:cs="Calibri" w:cstheme="minorHAnsi"/>
          <w:sz w:val="20"/>
          <w:szCs w:val="20"/>
          <w:u w:val="single"/>
        </w:rPr>
        <w:t xml:space="preserve">jeigu </w:t>
      </w:r>
      <w:r>
        <w:rPr>
          <w:rStyle w:val="cf11"/>
          <w:rFonts w:cs="Calibri" w:cstheme="minorHAnsi"/>
          <w:sz w:val="20"/>
          <w:szCs w:val="20"/>
          <w:u w:val="single"/>
        </w:rPr>
        <w:t>žemės sklype pradėjote vykdyti procedūras, susijusias su naujų pastatų statyba, patalpų įrengimu ar teritorijų rekreacijai planavimu</w:t>
      </w:r>
      <w:r>
        <w:rPr>
          <w:rStyle w:val="cf11"/>
          <w:rFonts w:cs="Calibri" w:cstheme="minorHAnsi"/>
          <w:sz w:val="20"/>
          <w:szCs w:val="20"/>
        </w:rPr>
        <w:t xml:space="preserve"> (</w:t>
      </w:r>
      <w:r>
        <w:rPr>
          <w:rStyle w:val="cf11"/>
          <w:rFonts w:cs="Calibri" w:cstheme="minorHAnsi"/>
          <w:i/>
          <w:iCs/>
          <w:sz w:val="20"/>
          <w:szCs w:val="20"/>
        </w:rPr>
        <w:t>Atsinaujinančių išteklių energetikos įstatymo 49 straipsnio 10 dalyje nurodyti pastatai</w:t>
      </w:r>
      <w:r>
        <w:rPr>
          <w:rStyle w:val="cf11"/>
          <w:rFonts w:cs="Calibri" w:cstheme="minorHAnsi"/>
          <w:sz w:val="20"/>
          <w:szCs w:val="20"/>
        </w:rPr>
        <w:t>):</w:t>
      </w:r>
    </w:p>
    <w:p>
      <w:pPr>
        <w:pStyle w:val="ListParagraph"/>
        <w:numPr>
          <w:ilvl w:val="0"/>
          <w:numId w:val="2"/>
        </w:numPr>
        <w:spacing w:lineRule="auto" w:line="240" w:before="0" w:after="80"/>
        <w:contextualSpacing/>
        <w:jc w:val="both"/>
        <w:rPr>
          <w:rFonts w:cs="Calibri" w:cstheme="minorHAnsi"/>
          <w:color w:themeColor="accent1" w:val="4472C4"/>
          <w:sz w:val="20"/>
          <w:szCs w:val="20"/>
        </w:rPr>
      </w:pPr>
      <w:r>
        <w:rPr>
          <w:rFonts w:cs="Calibri" w:cstheme="minorHAnsi"/>
          <w:b/>
          <w:bCs/>
          <w:color w:themeColor="accent1" w:val="4472C4"/>
          <w:sz w:val="20"/>
          <w:szCs w:val="20"/>
        </w:rPr>
        <w:t>Prieštaravimas RAŠTU</w:t>
      </w:r>
    </w:p>
    <w:p>
      <w:pPr>
        <w:pStyle w:val="Normal"/>
        <w:spacing w:lineRule="auto" w:line="240"/>
        <w:ind w:start="360"/>
        <w:jc w:val="both"/>
        <w:rPr>
          <w:rFonts w:cs="Calibri" w:cstheme="minorHAnsi"/>
          <w:color w:val="000000"/>
          <w:sz w:val="20"/>
          <w:szCs w:val="20"/>
        </w:rPr>
      </w:pPr>
      <w:r>
        <w:rPr>
          <w:rFonts w:cs="Calibri" w:cstheme="minorHAnsi"/>
          <w:color w:val="000000"/>
          <w:sz w:val="20"/>
          <w:szCs w:val="20"/>
        </w:rPr>
        <w:t xml:space="preserve">per 20 darbo dienų nuo informacijos paskelbimo dienos raštu </w:t>
      </w:r>
      <w:r>
        <w:rPr>
          <w:rFonts w:cs="Calibri" w:cstheme="minorHAnsi"/>
          <w:bCs/>
          <w:color w:val="000000"/>
          <w:sz w:val="20"/>
          <w:szCs w:val="20"/>
        </w:rPr>
        <w:t>pateikti prieštaravimą dėl statybų</w:t>
      </w:r>
      <w:r>
        <w:rPr>
          <w:rFonts w:cs="Calibri" w:cstheme="minorHAnsi"/>
          <w:color w:val="000000"/>
          <w:sz w:val="20"/>
          <w:szCs w:val="20"/>
        </w:rPr>
        <w:t xml:space="preserve"> arba</w:t>
      </w:r>
    </w:p>
    <w:p>
      <w:pPr>
        <w:pStyle w:val="ListParagraph"/>
        <w:numPr>
          <w:ilvl w:val="0"/>
          <w:numId w:val="2"/>
        </w:numPr>
        <w:spacing w:lineRule="auto" w:line="240" w:before="0" w:after="80"/>
        <w:contextualSpacing/>
        <w:jc w:val="both"/>
        <w:rPr>
          <w:rFonts w:cs="Calibri" w:cstheme="minorHAnsi"/>
          <w:color w:themeColor="accent1" w:val="4472C4"/>
          <w:sz w:val="20"/>
          <w:szCs w:val="20"/>
        </w:rPr>
      </w:pPr>
      <w:r>
        <w:rPr>
          <w:rFonts w:cs="Calibri" w:cstheme="minorHAnsi"/>
          <w:b/>
          <w:bCs/>
          <w:color w:themeColor="accent1" w:val="4472C4"/>
          <w:sz w:val="20"/>
          <w:szCs w:val="20"/>
        </w:rPr>
        <w:t>Susitarimas</w:t>
      </w:r>
    </w:p>
    <w:p>
      <w:pPr>
        <w:pStyle w:val="Normal"/>
        <w:ind w:start="360"/>
        <w:jc w:val="both"/>
        <w:rPr>
          <w:rFonts w:cs="Calibri" w:cstheme="minorHAnsi"/>
          <w:color w:val="000000"/>
          <w:sz w:val="20"/>
          <w:szCs w:val="20"/>
        </w:rPr>
      </w:pPr>
      <w:r>
        <w:rPr>
          <w:rFonts w:cs="Calibri" w:cstheme="minorHAnsi"/>
          <w:sz w:val="20"/>
          <w:szCs w:val="20"/>
        </w:rPr>
        <w:t>pateikus prieštaravimą turite teisę</w:t>
      </w:r>
      <w:r>
        <w:rPr>
          <w:rFonts w:cs="Calibri" w:cstheme="minorHAnsi"/>
          <w:color w:val="000000"/>
          <w:sz w:val="20"/>
          <w:szCs w:val="20"/>
        </w:rPr>
        <w:t xml:space="preserve"> sudaryti susitarimą dėl atitikties visuomenės sveikatos saugos reikalavimams užtikrinimo arba dėl faktiškai patirtų išlaidų, susijusių su pradėtomis vykdyti procedūromis, atlyginimo tuo atveju, kai nėra galimybės užtikrinti atitikties sveikatos saugos reikalavimams.</w:t>
      </w:r>
    </w:p>
    <w:p>
      <w:pPr>
        <w:pStyle w:val="ListParagraph"/>
        <w:numPr>
          <w:ilvl w:val="0"/>
          <w:numId w:val="2"/>
        </w:numPr>
        <w:spacing w:before="0" w:after="80"/>
        <w:contextualSpacing/>
        <w:jc w:val="both"/>
        <w:rPr>
          <w:rFonts w:cs="Calibri" w:cstheme="minorHAnsi"/>
          <w:color w:themeColor="accent1" w:val="4472C4"/>
          <w:sz w:val="20"/>
          <w:szCs w:val="20"/>
        </w:rPr>
      </w:pPr>
      <w:r>
        <w:rPr>
          <w:rFonts w:cs="Calibri" w:cstheme="minorHAnsi"/>
          <w:b/>
          <w:bCs/>
          <w:color w:themeColor="accent1" w:val="4472C4"/>
          <w:sz w:val="20"/>
          <w:szCs w:val="20"/>
        </w:rPr>
        <w:t>SVARBU ŽINOTI</w:t>
      </w:r>
    </w:p>
    <w:p>
      <w:pPr>
        <w:pStyle w:val="Normal"/>
        <w:spacing w:lineRule="auto" w:line="240"/>
        <w:ind w:start="360"/>
        <w:jc w:val="both"/>
        <w:rPr>
          <w:rFonts w:cs="Calibri" w:cstheme="minorHAnsi"/>
          <w:color w:val="000000"/>
          <w:sz w:val="20"/>
          <w:szCs w:val="20"/>
        </w:rPr>
      </w:pPr>
      <w:r>
        <w:rPr>
          <w:rFonts w:cs="Calibri" w:cstheme="minorHAnsi"/>
          <w:b/>
          <w:bCs/>
          <w:color w:val="000000"/>
          <w:sz w:val="20"/>
          <w:szCs w:val="20"/>
        </w:rPr>
        <w:t>Jeigu nesate pradėję minėtų procedūrų</w:t>
      </w:r>
      <w:r>
        <w:rPr>
          <w:rFonts w:cs="Calibri" w:cstheme="minorHAnsi"/>
          <w:color w:val="000000"/>
          <w:sz w:val="20"/>
          <w:szCs w:val="20"/>
        </w:rPr>
        <w:t xml:space="preserve"> esate informuojami apie elektrinės statybą, tačiau neturite teisės išreikšti prieštaravimo dėl elektrinės statybų.</w:t>
      </w:r>
    </w:p>
    <w:p>
      <w:pPr>
        <w:pStyle w:val="Normal"/>
        <w:spacing w:lineRule="auto" w:line="240" w:before="0" w:after="0"/>
        <w:ind w:start="360"/>
        <w:jc w:val="both"/>
        <w:rPr>
          <w:rFonts w:cs="Calibri" w:cstheme="minorHAnsi"/>
          <w:color w:val="000000"/>
          <w:sz w:val="20"/>
          <w:szCs w:val="20"/>
        </w:rPr>
      </w:pPr>
      <w:r>
        <w:rPr>
          <w:rFonts w:cs="Calibri" w:cstheme="minorHAnsi"/>
          <w:color w:val="000000"/>
          <w:sz w:val="20"/>
          <w:szCs w:val="20"/>
        </w:rPr>
        <w:t>Miškų ūkio paskirties žemės sklypų savininkai informuojami, tačiau negali teikti prieštaravimų dėl didesnės kaip 30 kW įrengtosios galios vėjo elektrinės statybų.</w:t>
      </w:r>
    </w:p>
    <w:p>
      <w:pPr>
        <w:pStyle w:val="Normal"/>
        <w:spacing w:lineRule="auto" w:line="240" w:before="240" w:after="240"/>
        <w:jc w:val="both"/>
        <w:rPr>
          <w:rFonts w:cs="Calibri" w:cstheme="minorHAnsi"/>
          <w:sz w:val="20"/>
          <w:szCs w:val="20"/>
        </w:rPr>
      </w:pPr>
      <w:r>
        <w:rPr>
          <w:rFonts w:cs="Calibri" w:cstheme="minorHAnsi"/>
          <w:sz w:val="20"/>
          <w:szCs w:val="20"/>
        </w:rPr>
        <mc:AlternateContent>
          <mc:Choice Requires="wpg">
            <w:drawing>
              <wp:anchor distT="0" distB="5715" distL="0" distR="0" simplePos="0" relativeHeight="7" behindDoc="0" locked="0" layoutInCell="0" allowOverlap="1" wp14:anchorId="666C2B00">
                <wp:simplePos x="0" y="0"/>
                <wp:positionH relativeFrom="margin">
                  <wp:align>left</wp:align>
                </wp:positionH>
                <wp:positionV relativeFrom="paragraph">
                  <wp:posOffset>262255</wp:posOffset>
                </wp:positionV>
                <wp:extent cx="9277985" cy="1537970"/>
                <wp:effectExtent l="0" t="0" r="0" b="5715"/>
                <wp:wrapNone/>
                <wp:docPr id="8" name="Group 6"/>
                <a:graphic xmlns:a="http://schemas.openxmlformats.org/drawingml/2006/main">
                  <a:graphicData uri="http://schemas.microsoft.com/office/word/2010/wordprocessingGroup">
                    <wpg:wgp>
                      <wpg:cNvGrpSpPr/>
                      <wpg:grpSpPr>
                        <a:xfrm>
                          <a:off x="0" y="0"/>
                          <a:ext cx="9277920" cy="1537920"/>
                          <a:chOff x="0" y="0"/>
                          <a:chExt cx="9277920" cy="1537920"/>
                        </a:xfrm>
                      </wpg:grpSpPr>
                      <wpg:grpSp>
                        <wpg:cNvGrpSpPr/>
                        <wpg:grpSpPr>
                          <a:xfrm>
                            <a:off x="0" y="0"/>
                            <a:ext cx="9277920" cy="1537920"/>
                          </a:xfrm>
                        </wpg:grpSpPr>
                        <wps:wsp>
                          <wps:cNvPr id="9" name="Rounded Rectangle 5"/>
                          <wps:cNvSpPr/>
                          <wps:spPr>
                            <a:xfrm>
                              <a:off x="393840" y="0"/>
                              <a:ext cx="8884440" cy="1537920"/>
                            </a:xfrm>
                            <a:prstGeom prst="roundRect">
                              <a:avLst>
                                <a:gd name="adj" fmla="val 8098"/>
                              </a:avLst>
                            </a:prstGeom>
                            <a:solidFill>
                              <a:schemeClr val="accent5">
                                <a:lumMod val="20000"/>
                                <a:lumOff val="80000"/>
                              </a:schemeClr>
                            </a:solidFill>
                            <a:ln>
                              <a:noFill/>
                            </a:ln>
                          </wps:spPr>
                          <wps:style>
                            <a:lnRef idx="2">
                              <a:schemeClr val="accent3">
                                <a:shade val="15000"/>
                              </a:schemeClr>
                            </a:lnRef>
                            <a:fillRef idx="1">
                              <a:schemeClr val="accent3"/>
                            </a:fillRef>
                            <a:effectRef idx="0">
                              <a:schemeClr val="accent3"/>
                            </a:effectRef>
                            <a:fontRef idx="minor"/>
                          </wps:style>
                          <wps:bodyPr/>
                        </wps:wsp>
                        <pic:pic xmlns:pic="http://schemas.openxmlformats.org/drawingml/2006/picture">
                          <pic:nvPicPr>
                            <pic:cNvPr id="10" name="Grafinis elementas 7" descr="Exclamation mark with solid fill"/>
                            <pic:cNvPicPr/>
                          </pic:nvPicPr>
                          <pic:blipFill>
                            <a:blip r:embed="rId3">
                              <a:extLst>
                                <a:ext uri="{96DAC541-7B7A-43D3-8B79-37D633B846F1}">
                                  <asvg:svgBlip xmlns:asvg="http://schemas.microsoft.com/office/drawing/2016/SVG/main" r:embed="rId4"/>
                                </a:ext>
                              </a:extLst>
                            </a:blip>
                            <a:stretch/>
                          </pic:blipFill>
                          <pic:spPr>
                            <a:xfrm>
                              <a:off x="0" y="184320"/>
                              <a:ext cx="555480" cy="349200"/>
                            </a:xfrm>
                            <a:prstGeom prst="rect">
                              <a:avLst/>
                            </a:prstGeom>
                            <a:noFill/>
                            <a:ln w="0">
                              <a:noFill/>
                            </a:ln>
                          </pic:spPr>
                        </pic:pic>
                      </wpg:grpSp>
                      <wps:wsp>
                        <wps:cNvPr id="11" name="2 teksto laukas"/>
                        <wps:cNvSpPr/>
                        <wps:spPr>
                          <a:xfrm>
                            <a:off x="625320" y="21600"/>
                            <a:ext cx="8563680" cy="1440360"/>
                          </a:xfrm>
                          <a:prstGeom prst="rect">
                            <a:avLst/>
                          </a:prstGeom>
                          <a:noFill/>
                          <a:ln w="9525">
                            <a:noFill/>
                          </a:ln>
                        </wps:spPr>
                        <wps:style>
                          <a:lnRef idx="0"/>
                          <a:fillRef idx="0"/>
                          <a:effectRef idx="0"/>
                          <a:fontRef idx="minor"/>
                        </wps:style>
                        <wps:txbx>
                          <w:txbxContent>
                            <w:p>
                              <w:pPr>
                                <w:pStyle w:val="Normal"/>
                                <w:spacing w:before="0" w:after="0"/>
                                <w:jc w:val="both"/>
                                <w:rPr>
                                  <w:rFonts w:cs="Calibri" w:cstheme="minorHAnsi"/>
                                  <w:sz w:val="20"/>
                                  <w:szCs w:val="20"/>
                                </w:rPr>
                              </w:pPr>
                              <w:r>
                                <w:rPr>
                                  <w:rFonts w:cs="Calibri" w:cstheme="minorHAnsi"/>
                                  <w:color w:val="000000"/>
                                  <w:sz w:val="20"/>
                                  <w:szCs w:val="20"/>
                                </w:rPr>
                                <w:t xml:space="preserve">Sutikus su vėjo elektrinės statybomis Jūsų nuosavybės ar kita teise valdomame žemės sklype </w:t>
                              </w:r>
                              <w:r>
                                <w:rPr>
                                  <w:rFonts w:cs="Calibri" w:cstheme="minorHAnsi"/>
                                  <w:sz w:val="20"/>
                                  <w:szCs w:val="20"/>
                                </w:rPr>
                                <w:t xml:space="preserve">sodo namų, gyvenamosios, viešbučių, kultūros paskirties pastatų, bendrojo ugdymo, profesinių, aukštųjų mokyklų, vaikų darželių, lopšelių, mokslo paskirties pastatų, skirtų švietimo reikmėms, kitų mokslo paskirties pastatų, skirtų neformaliajam švietimui, poilsio, gydymo, sporto ir religinės paskirties pastatų, specialiosios paskirties pastatų, susijusių su apgyvendinimu, (kareivinių pastatų, laisvės atėmimo vietų įstaigų), nurodytos paskirties patalpų kitos paskirties statiniuose ir (ar) rekreacinių teritorijų planavimas bus galimas, jeigu </w:t>
                              </w:r>
                              <w:r>
                                <w:rPr>
                                  <w:rFonts w:cs="Calibri" w:cstheme="minorHAnsi"/>
                                  <w:b/>
                                  <w:bCs/>
                                  <w:sz w:val="20"/>
                                  <w:szCs w:val="20"/>
                                </w:rPr>
                                <w:t>UAB „Troškūnų vėjas“,</w:t>
                              </w:r>
                              <w:r>
                                <w:rPr>
                                  <w:rFonts w:cs="Calibri" w:cstheme="minorHAnsi"/>
                                  <w:sz w:val="20"/>
                                  <w:szCs w:val="20"/>
                                </w:rPr>
                                <w:t xml:space="preserve"> raštu įsipareigos užtikrinti atitiktį visuomenės sveikatos saugos reikalavimams.</w:t>
                              </w:r>
                            </w:p>
                            <w:p>
                              <w:pPr>
                                <w:pStyle w:val="Normal"/>
                                <w:spacing w:before="0" w:after="0"/>
                                <w:jc w:val="both"/>
                                <w:rPr>
                                  <w:rFonts w:cs="Calibri" w:cstheme="minorHAnsi"/>
                                  <w:color w:val="000000"/>
                                  <w:sz w:val="20"/>
                                  <w:szCs w:val="20"/>
                                </w:rPr>
                              </w:pPr>
                              <w:r>
                                <w:rPr>
                                  <w:rFonts w:cs="Calibri" w:cstheme="minorHAnsi"/>
                                  <w:color w:val="000000"/>
                                  <w:sz w:val="20"/>
                                  <w:szCs w:val="20"/>
                                </w:rPr>
                              </w:r>
                            </w:p>
                            <w:p>
                              <w:pPr>
                                <w:pStyle w:val="Normal"/>
                                <w:spacing w:before="0" w:after="160"/>
                                <w:jc w:val="both"/>
                                <w:rPr>
                                  <w:rFonts w:cs="Calibri" w:cstheme="minorHAnsi"/>
                                  <w:b/>
                                  <w:bCs/>
                                  <w:sz w:val="20"/>
                                  <w:szCs w:val="20"/>
                                </w:rPr>
                              </w:pPr>
                              <w:r>
                                <w:rPr>
                                  <w:rFonts w:cs="Calibri" w:cstheme="minorHAnsi"/>
                                  <w:b/>
                                  <w:bCs/>
                                  <w:color w:val="000000"/>
                                  <w:sz w:val="20"/>
                                  <w:szCs w:val="20"/>
                                </w:rPr>
                                <w:t>Dėl papildomos informacijos suteikimo kreiptis į UAB „Troškūnų vėjas“, įmonės kodas 304961519, Konstitucijos pr. 9-41, 09308 Vilnius, troskunuvejas@aiprojektai.eu, +370 657 42818.</w:t>
                              </w:r>
                            </w:p>
                          </w:txbxContent>
                        </wps:txbx>
                        <wps:bodyPr anchor="t">
                          <a:noAutofit/>
                        </wps:bodyPr>
                      </wps:wsp>
                    </wpg:wgp>
                  </a:graphicData>
                </a:graphic>
              </wp:anchor>
            </w:drawing>
          </mc:Choice>
          <mc:Fallback>
            <w:pict>
              <v:group id="shape_0" alt="Group 6" style="position:absolute;margin-left:0pt;margin-top:20.65pt;width:730.55pt;height:121.1pt" coordorigin="0,413" coordsize="14611,2422">
                <v:group id="shape_0" style="position:absolute;left:0;top:413;width:14611;height:2422">
                  <v:roundrect id="shape_0" fillcolor="#deebf7" stroked="f" o:allowincell="f" style="position:absolute;left:620;top:413;width:13990;height:2421;mso-wrap-style:none;v-text-anchor:middle;mso-position-horizontal:left;mso-position-horizontal-relative:margin">
                    <v:fill o:detectmouseclick="t" type="solid" color2="#211408"/>
                    <v:stroke color="#3465a4" weight="12600" joinstyle="miter" endcap="flat"/>
                    <w10:wrap type="none"/>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o:allowincell="f" style="position:absolute;left:0;top:703;width:874;height:549;mso-wrap-style:none;v-text-anchor:middle;mso-position-horizontal:left;mso-position-horizontal-relative:margin" type="_x0000_t75">
                    <v:imagedata r:id="rId5" o:detectmouseclick="t"/>
                    <v:stroke color="#3465a4" joinstyle="round" endcap="flat"/>
                    <w10:wrap type="none"/>
                  </v:shape>
                </v:group>
                <v:rect id="shape_0" stroked="f" o:allowincell="f" style="position:absolute;left:985;top:447;width:13485;height:2267;mso-wrap-style:square;v-text-anchor:top;mso-position-horizontal:left;mso-position-horizontal-relative:margin">
                  <v:fill o:detectmouseclick="t" on="false"/>
                  <v:stroke color="#3465a4" weight="9360" joinstyle="miter" endcap="flat"/>
                  <v:textbox>
                    <w:txbxContent>
                      <w:p>
                        <w:pPr>
                          <w:pStyle w:val="Normal"/>
                          <w:spacing w:before="0" w:after="0"/>
                          <w:jc w:val="both"/>
                          <w:rPr>
                            <w:rFonts w:cs="Calibri" w:cstheme="minorHAnsi"/>
                            <w:sz w:val="20"/>
                            <w:szCs w:val="20"/>
                          </w:rPr>
                        </w:pPr>
                        <w:r>
                          <w:rPr>
                            <w:rFonts w:cs="Calibri" w:cstheme="minorHAnsi"/>
                            <w:color w:val="000000"/>
                            <w:sz w:val="20"/>
                            <w:szCs w:val="20"/>
                          </w:rPr>
                          <w:t xml:space="preserve">Sutikus su vėjo elektrinės statybomis Jūsų nuosavybės ar kita teise valdomame žemės sklype </w:t>
                        </w:r>
                        <w:r>
                          <w:rPr>
                            <w:rFonts w:cs="Calibri" w:cstheme="minorHAnsi"/>
                            <w:sz w:val="20"/>
                            <w:szCs w:val="20"/>
                          </w:rPr>
                          <w:t xml:space="preserve">sodo namų, gyvenamosios, viešbučių, kultūros paskirties pastatų, bendrojo ugdymo, profesinių, aukštųjų mokyklų, vaikų darželių, lopšelių, mokslo paskirties pastatų, skirtų švietimo reikmėms, kitų mokslo paskirties pastatų, skirtų neformaliajam švietimui, poilsio, gydymo, sporto ir religinės paskirties pastatų, specialiosios paskirties pastatų, susijusių su apgyvendinimu, (kareivinių pastatų, laisvės atėmimo vietų įstaigų), nurodytos paskirties patalpų kitos paskirties statiniuose ir (ar) rekreacinių teritorijų planavimas bus galimas, jeigu </w:t>
                        </w:r>
                        <w:r>
                          <w:rPr>
                            <w:rFonts w:cs="Calibri" w:cstheme="minorHAnsi"/>
                            <w:b/>
                            <w:bCs/>
                            <w:sz w:val="20"/>
                            <w:szCs w:val="20"/>
                          </w:rPr>
                          <w:t>UAB „Troškūnų vėjas“,</w:t>
                        </w:r>
                        <w:r>
                          <w:rPr>
                            <w:rFonts w:cs="Calibri" w:cstheme="minorHAnsi"/>
                            <w:sz w:val="20"/>
                            <w:szCs w:val="20"/>
                          </w:rPr>
                          <w:t xml:space="preserve"> raštu įsipareigos užtikrinti atitiktį visuomenės sveikatos saugos reikalavimams.</w:t>
                        </w:r>
                      </w:p>
                      <w:p>
                        <w:pPr>
                          <w:pStyle w:val="Normal"/>
                          <w:spacing w:before="0" w:after="0"/>
                          <w:jc w:val="both"/>
                          <w:rPr>
                            <w:rFonts w:cs="Calibri" w:cstheme="minorHAnsi"/>
                            <w:color w:val="000000"/>
                            <w:sz w:val="20"/>
                            <w:szCs w:val="20"/>
                          </w:rPr>
                        </w:pPr>
                        <w:r>
                          <w:rPr>
                            <w:rFonts w:cs="Calibri" w:cstheme="minorHAnsi"/>
                            <w:color w:val="000000"/>
                            <w:sz w:val="20"/>
                            <w:szCs w:val="20"/>
                          </w:rPr>
                        </w:r>
                      </w:p>
                      <w:p>
                        <w:pPr>
                          <w:pStyle w:val="Normal"/>
                          <w:spacing w:before="0" w:after="160"/>
                          <w:jc w:val="both"/>
                          <w:rPr>
                            <w:rFonts w:cs="Calibri" w:cstheme="minorHAnsi"/>
                            <w:b/>
                            <w:bCs/>
                            <w:sz w:val="20"/>
                            <w:szCs w:val="20"/>
                          </w:rPr>
                        </w:pPr>
                        <w:r>
                          <w:rPr>
                            <w:rFonts w:cs="Calibri" w:cstheme="minorHAnsi"/>
                            <w:b/>
                            <w:bCs/>
                            <w:color w:val="000000"/>
                            <w:sz w:val="20"/>
                            <w:szCs w:val="20"/>
                          </w:rPr>
                          <w:t>Dėl papildomos informacijos suteikimo kreiptis į UAB „Troškūnų vėjas“, įmonės kodas 304961519, Konstitucijos pr. 9-41, 09308 Vilnius, troskunuvejas@aiprojektai.eu, +370 657 42818.</w:t>
                        </w:r>
                      </w:p>
                    </w:txbxContent>
                  </v:textbox>
                  <w10:wrap type="none"/>
                </v:rect>
              </v:group>
            </w:pict>
          </mc:Fallback>
        </mc:AlternateContent>
      </w:r>
    </w:p>
    <w:p>
      <w:pPr>
        <w:pStyle w:val="Normal"/>
        <w:spacing w:lineRule="auto" w:line="240" w:before="240" w:after="240"/>
        <w:jc w:val="both"/>
        <w:rPr>
          <w:rFonts w:cs="Calibri" w:cstheme="minorHAnsi"/>
          <w:sz w:val="20"/>
          <w:szCs w:val="20"/>
        </w:rPr>
      </w:pPr>
      <w:r>
        <w:rPr>
          <w:rFonts w:cs="Calibri" w:cstheme="minorHAnsi"/>
          <w:sz w:val="20"/>
          <w:szCs w:val="20"/>
        </w:rPr>
      </w:r>
    </w:p>
    <w:p>
      <w:pPr>
        <w:pStyle w:val="Normal"/>
        <w:spacing w:lineRule="auto" w:line="240" w:before="240" w:after="240"/>
        <w:jc w:val="both"/>
        <w:rPr>
          <w:sz w:val="20"/>
          <w:szCs w:val="20"/>
        </w:rPr>
      </w:pPr>
      <w:r>
        <w:rPr>
          <w:sz w:val="20"/>
          <w:szCs w:val="20"/>
        </w:rPr>
      </w:r>
    </w:p>
    <w:sectPr>
      <w:footnotePr>
        <w:numFmt w:val="decimal"/>
      </w:footnotePr>
      <w:type w:val="continuous"/>
      <w:pgSz w:w="16838" w:h="23811"/>
      <w:pgMar w:left="1134" w:right="567" w:gutter="0" w:header="0" w:top="1134" w:footer="0" w:bottom="851"/>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ba" w:characterSet="windows-1257"/>
    <w:family w:val="roman"/>
    <w:pitch w:val="variable"/>
  </w:font>
  <w:font w:name="Calibri">
    <w:charset w:val="ba" w:characterSet="windows-1257"/>
    <w:family w:val="roman"/>
    <w:pitch w:val="variable"/>
  </w:font>
  <w:font w:name="Segoe UI">
    <w:charset w:val="ba" w:characterSet="windows-1257"/>
    <w:family w:val="swiss"/>
    <w:pitch w:val="variable"/>
  </w:font>
  <w:font w:name="Liberation Sans">
    <w:altName w:val="Arial"/>
    <w:charset w:val="ba" w:characterSet="windows-1257"/>
    <w:family w:val="swiss"/>
    <w:pitch w:val="variable"/>
  </w:font>
  <w:font w:name="Times New Roman">
    <w:charset w:val="ba" w:characterSet="windows-1257"/>
    <w:family w:val="roman"/>
    <w:pitch w:val="variable"/>
  </w:font>
  <w:font w:name="TimesLT">
    <w:charset w:val="ba" w:characterSet="windows-1257"/>
    <w:family w:val="roman"/>
    <w:pitch w:val="variable"/>
  </w:font>
  <w:font w:name="Arial">
    <w:charset w:val="ba" w:characterSet="windows-1257"/>
    <w:family w:val="swiss"/>
    <w:pitch w:val="variable"/>
  </w:font>
  <w:font w:name="Aptos">
    <w:charset w:val="ba" w:characterSet="windows-1257"/>
    <w:family w:val="swiss"/>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jc w:val="both"/>
        <w:rPr/>
      </w:pPr>
      <w:r>
        <w:rPr>
          <w:rStyle w:val="FootnoteCharacters"/>
        </w:rPr>
        <w:footnoteRef/>
      </w:r>
      <w:r>
        <w:rPr/>
        <w:t xml:space="preserve"> </w:t>
      </w:r>
      <w:r>
        <w:rPr>
          <w:b/>
          <w:bCs/>
        </w:rPr>
        <w:t xml:space="preserve">Teritorija su statybos apribojimais </w:t>
      </w:r>
      <w:r>
        <w:rPr/>
        <w:t>– tai teritorija aplink planuojamą vėjo elektrinę jos stiebo aukščio ribose arba teritoriją, kurioje nebus užtikrinta atitiktis visuomenės sveikatos saugos reikalavimams, jeigu tokia teritorija yra didesnė, negu vienas vėjo elektrinės stiebo aukštis aplink planuojamą elektrinę (LR Atsinaujinančių išteklių energetikos įstatymo 49 str. 15 d.).</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Roman"/>
      <w:lvlText w:val="(%1)"/>
      <w:lvlJc w:val="start"/>
      <w:pPr>
        <w:tabs>
          <w:tab w:val="num" w:pos="0"/>
        </w:tabs>
        <w:ind w:start="1080" w:hanging="72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
    <w:lvl w:ilvl="0">
      <w:start w:val="2024"/>
      <w:numFmt w:val="bullet"/>
      <w:lvlText w:val="-"/>
      <w:lvlJc w:val="start"/>
      <w:pPr>
        <w:tabs>
          <w:tab w:val="num" w:pos="0"/>
        </w:tabs>
        <w:ind w:start="720" w:hanging="360"/>
      </w:pPr>
      <w:rPr>
        <w:rFonts w:ascii="Times New Roman" w:hAnsi="Times New Roman" w:cs="Times New Roman"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3">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80"/>
  <w:defaultTabStop w:val="1296"/>
  <w:autoHyphenation w:val="true"/>
  <w:hyphenationZone w:val="0"/>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lt-L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lt-LT"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d46b7"/>
    <w:pPr>
      <w:widowControl/>
      <w:bidi w:val="0"/>
      <w:spacing w:lineRule="auto" w:line="259" w:before="0" w:after="160"/>
      <w:jc w:val="start"/>
    </w:pPr>
    <w:rPr>
      <w:rFonts w:ascii="Calibri" w:hAnsi="Calibri" w:eastAsia="Calibri" w:cs="" w:asciiTheme="minorHAnsi" w:cstheme="minorBidi" w:eastAsiaTheme="minorHAnsi" w:hAnsiTheme="minorHAnsi"/>
      <w:color w:val="auto"/>
      <w:kern w:val="2"/>
      <w:sz w:val="22"/>
      <w:szCs w:val="22"/>
      <w:lang w:val="lt-LT" w:eastAsia="en-US" w:bidi="ar-SA"/>
      <w14:ligatures w14:val="standardContextual"/>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ab219c"/>
    <w:rPr>
      <w:color w:themeColor="hyperlink" w:val="0563C1"/>
      <w:u w:val="single"/>
    </w:rPr>
  </w:style>
  <w:style w:type="character" w:styleId="UnresolvedMention">
    <w:name w:val="Unresolved Mention"/>
    <w:basedOn w:val="DefaultParagraphFont"/>
    <w:uiPriority w:val="99"/>
    <w:semiHidden/>
    <w:unhideWhenUsed/>
    <w:qFormat/>
    <w:rsid w:val="00ab219c"/>
    <w:rPr>
      <w:color w:val="605E5C"/>
      <w:shd w:fill="E1DFDD" w:val="clear"/>
    </w:rPr>
  </w:style>
  <w:style w:type="character" w:styleId="AntratsDiagrama" w:customStyle="1">
    <w:name w:val="Antraštės Diagrama"/>
    <w:basedOn w:val="DefaultParagraphFont"/>
    <w:link w:val="Header"/>
    <w:uiPriority w:val="99"/>
    <w:qFormat/>
    <w:rsid w:val="00673040"/>
    <w:rPr/>
  </w:style>
  <w:style w:type="character" w:styleId="PoratDiagrama" w:customStyle="1">
    <w:name w:val="Poraštė Diagrama"/>
    <w:basedOn w:val="DefaultParagraphFont"/>
    <w:link w:val="Footer"/>
    <w:uiPriority w:val="99"/>
    <w:qFormat/>
    <w:rsid w:val="00673040"/>
    <w:rPr/>
  </w:style>
  <w:style w:type="character" w:styleId="CommentReference">
    <w:name w:val="annotation reference"/>
    <w:basedOn w:val="DefaultParagraphFont"/>
    <w:uiPriority w:val="99"/>
    <w:semiHidden/>
    <w:unhideWhenUsed/>
    <w:qFormat/>
    <w:rsid w:val="003c7248"/>
    <w:rPr>
      <w:sz w:val="16"/>
      <w:szCs w:val="16"/>
    </w:rPr>
  </w:style>
  <w:style w:type="character" w:styleId="KomentarotekstasDiagrama" w:customStyle="1">
    <w:name w:val="Komentaro tekstas Diagrama"/>
    <w:basedOn w:val="DefaultParagraphFont"/>
    <w:link w:val="CommentText"/>
    <w:uiPriority w:val="99"/>
    <w:qFormat/>
    <w:rsid w:val="003c7248"/>
    <w:rPr>
      <w:sz w:val="20"/>
      <w:szCs w:val="20"/>
    </w:rPr>
  </w:style>
  <w:style w:type="character" w:styleId="KomentarotemaDiagrama" w:customStyle="1">
    <w:name w:val="Komentaro tema Diagrama"/>
    <w:basedOn w:val="KomentarotekstasDiagrama"/>
    <w:link w:val="annotationsubject"/>
    <w:uiPriority w:val="99"/>
    <w:semiHidden/>
    <w:qFormat/>
    <w:rsid w:val="003c7248"/>
    <w:rPr>
      <w:b/>
      <w:bCs/>
      <w:sz w:val="20"/>
      <w:szCs w:val="20"/>
    </w:rPr>
  </w:style>
  <w:style w:type="character" w:styleId="PuslapioinaostekstasDiagrama" w:customStyle="1">
    <w:name w:val="Puslapio išnašos tekstas Diagrama"/>
    <w:basedOn w:val="DefaultParagraphFont"/>
    <w:link w:val="FootnoteText"/>
    <w:uiPriority w:val="99"/>
    <w:semiHidden/>
    <w:qFormat/>
    <w:rsid w:val="007f5c16"/>
    <w:rPr>
      <w:sz w:val="20"/>
      <w:szCs w:val="20"/>
    </w:rPr>
  </w:style>
  <w:style w:type="character" w:styleId="FootnoteCharacters">
    <w:name w:val="Footnote Characters"/>
    <w:basedOn w:val="DefaultParagraphFont"/>
    <w:uiPriority w:val="99"/>
    <w:semiHidden/>
    <w:unhideWhenUsed/>
    <w:qFormat/>
    <w:rsid w:val="007f5c16"/>
    <w:rPr>
      <w:vertAlign w:val="superscript"/>
    </w:rPr>
  </w:style>
  <w:style w:type="character" w:styleId="FootnoteReference">
    <w:name w:val="footnote reference"/>
    <w:rPr>
      <w:vertAlign w:val="superscript"/>
    </w:rPr>
  </w:style>
  <w:style w:type="character" w:styleId="cf01" w:customStyle="1">
    <w:name w:val="cf01"/>
    <w:basedOn w:val="DefaultParagraphFont"/>
    <w:qFormat/>
    <w:rsid w:val="00860113"/>
    <w:rPr>
      <w:rFonts w:ascii="Segoe UI" w:hAnsi="Segoe UI" w:cs="Segoe UI"/>
      <w:sz w:val="18"/>
      <w:szCs w:val="18"/>
    </w:rPr>
  </w:style>
  <w:style w:type="character" w:styleId="cf11" w:customStyle="1">
    <w:name w:val="cf11"/>
    <w:basedOn w:val="DefaultParagraphFont"/>
    <w:qFormat/>
    <w:rsid w:val="00860113"/>
    <w:rPr>
      <w:rFonts w:ascii="Segoe UI" w:hAnsi="Segoe UI" w:cs="Segoe UI"/>
      <w:sz w:val="18"/>
      <w:szCs w:val="18"/>
    </w:rPr>
  </w:style>
  <w:style w:type="character" w:styleId="EndnoteReference">
    <w:name w:val="endnote reference"/>
    <w:rPr>
      <w:vertAlign w:val="superscript"/>
    </w:rPr>
  </w:style>
  <w:style w:type="character" w:styleId="EndnoteCharacters">
    <w:name w:val="Endnote Characters"/>
    <w:qFormat/>
    <w:rPr/>
  </w:style>
  <w:style w:type="paragraph" w:styleId="Heading">
    <w:name w:val="Heading"/>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NormalWeb">
    <w:name w:val="Normal (Web)"/>
    <w:basedOn w:val="Normal"/>
    <w:uiPriority w:val="99"/>
    <w:unhideWhenUsed/>
    <w:qFormat/>
    <w:rsid w:val="00a47dbc"/>
    <w:pPr>
      <w:spacing w:lineRule="auto" w:line="240" w:beforeAutospacing="1" w:afterAutospacing="1"/>
    </w:pPr>
    <w:rPr>
      <w:rFonts w:ascii="Times New Roman" w:hAnsi="Times New Roman" w:eastAsia="Times New Roman" w:cs="Times New Roman"/>
      <w:kern w:val="0"/>
      <w:sz w:val="24"/>
      <w:szCs w:val="24"/>
      <w:lang w:eastAsia="lt-LT"/>
      <w14:ligatures w14:val="none"/>
    </w:rPr>
  </w:style>
  <w:style w:type="paragraph" w:styleId="HeaderandFooter">
    <w:name w:val="Header and Footer"/>
    <w:basedOn w:val="Normal"/>
    <w:qFormat/>
    <w:pPr/>
    <w:rPr/>
  </w:style>
  <w:style w:type="paragraph" w:styleId="Header">
    <w:name w:val="header"/>
    <w:basedOn w:val="Normal"/>
    <w:link w:val="AntratsDiagrama"/>
    <w:uiPriority w:val="99"/>
    <w:unhideWhenUsed/>
    <w:rsid w:val="00673040"/>
    <w:pPr>
      <w:tabs>
        <w:tab w:val="clear" w:pos="1296"/>
        <w:tab w:val="center" w:pos="4819" w:leader="none"/>
        <w:tab w:val="right" w:pos="9638" w:leader="none"/>
      </w:tabs>
      <w:spacing w:lineRule="auto" w:line="240" w:before="0" w:after="0"/>
    </w:pPr>
    <w:rPr/>
  </w:style>
  <w:style w:type="paragraph" w:styleId="Footer">
    <w:name w:val="footer"/>
    <w:basedOn w:val="Normal"/>
    <w:link w:val="PoratDiagrama"/>
    <w:uiPriority w:val="99"/>
    <w:unhideWhenUsed/>
    <w:rsid w:val="00673040"/>
    <w:pPr>
      <w:tabs>
        <w:tab w:val="clear" w:pos="1296"/>
        <w:tab w:val="center" w:pos="4819" w:leader="none"/>
        <w:tab w:val="right" w:pos="9638" w:leader="none"/>
      </w:tabs>
      <w:spacing w:lineRule="auto" w:line="240" w:before="0" w:after="0"/>
    </w:pPr>
    <w:rPr/>
  </w:style>
  <w:style w:type="paragraph" w:styleId="CentrBoldm" w:customStyle="1">
    <w:name w:val="CentrBoldm"/>
    <w:basedOn w:val="Normal"/>
    <w:qFormat/>
    <w:rsid w:val="00673040"/>
    <w:pPr>
      <w:spacing w:lineRule="auto" w:line="240" w:before="0" w:after="0"/>
      <w:jc w:val="center"/>
    </w:pPr>
    <w:rPr>
      <w:rFonts w:ascii="TimesLT" w:hAnsi="TimesLT" w:eastAsia="Times New Roman" w:cs="Times New Roman"/>
      <w:b/>
      <w:bCs/>
      <w:kern w:val="0"/>
      <w:sz w:val="20"/>
      <w:szCs w:val="20"/>
      <w:lang w:val="en-US"/>
      <w14:ligatures w14:val="none"/>
    </w:rPr>
  </w:style>
  <w:style w:type="paragraph" w:styleId="CommentText">
    <w:name w:val="annotation text"/>
    <w:basedOn w:val="Normal"/>
    <w:link w:val="KomentarotekstasDiagrama"/>
    <w:uiPriority w:val="99"/>
    <w:unhideWhenUsed/>
    <w:rsid w:val="003c7248"/>
    <w:pPr>
      <w:spacing w:lineRule="auto" w:line="240"/>
    </w:pPr>
    <w:rPr>
      <w:sz w:val="20"/>
      <w:szCs w:val="20"/>
    </w:rPr>
  </w:style>
  <w:style w:type="paragraph" w:styleId="annotationsubject">
    <w:name w:val="annotation subject"/>
    <w:basedOn w:val="CommentText"/>
    <w:next w:val="CommentText"/>
    <w:link w:val="KomentarotemaDiagrama"/>
    <w:uiPriority w:val="99"/>
    <w:semiHidden/>
    <w:unhideWhenUsed/>
    <w:qFormat/>
    <w:rsid w:val="003c7248"/>
    <w:pPr/>
    <w:rPr>
      <w:b/>
      <w:bCs/>
    </w:rPr>
  </w:style>
  <w:style w:type="paragraph" w:styleId="FootnoteText">
    <w:name w:val="footnote text"/>
    <w:basedOn w:val="Normal"/>
    <w:link w:val="PuslapioinaostekstasDiagrama"/>
    <w:uiPriority w:val="99"/>
    <w:semiHidden/>
    <w:unhideWhenUsed/>
    <w:rsid w:val="007f5c16"/>
    <w:pPr>
      <w:spacing w:lineRule="auto" w:line="240" w:before="0" w:after="0"/>
    </w:pPr>
    <w:rPr>
      <w:sz w:val="20"/>
      <w:szCs w:val="20"/>
    </w:rPr>
  </w:style>
  <w:style w:type="paragraph" w:styleId="Revision">
    <w:name w:val="Revision"/>
    <w:uiPriority w:val="99"/>
    <w:semiHidden/>
    <w:qFormat/>
    <w:rsid w:val="00f839e1"/>
    <w:pPr>
      <w:widowControl/>
      <w:bidi w:val="0"/>
      <w:spacing w:lineRule="auto" w:line="240" w:before="0" w:after="0"/>
      <w:jc w:val="start"/>
    </w:pPr>
    <w:rPr>
      <w:rFonts w:ascii="Calibri" w:hAnsi="Calibri" w:eastAsia="Calibri" w:cs="" w:asciiTheme="minorHAnsi" w:cstheme="minorBidi" w:eastAsiaTheme="minorHAnsi" w:hAnsiTheme="minorHAnsi"/>
      <w:color w:val="auto"/>
      <w:kern w:val="2"/>
      <w:sz w:val="22"/>
      <w:szCs w:val="22"/>
      <w:lang w:val="lt-LT" w:eastAsia="en-US" w:bidi="ar-SA"/>
      <w14:ligatures w14:val="standardContextual"/>
    </w:rPr>
  </w:style>
  <w:style w:type="paragraph" w:styleId="ListParagraph">
    <w:name w:val="List Paragraph"/>
    <w:basedOn w:val="Normal"/>
    <w:uiPriority w:val="34"/>
    <w:qFormat/>
    <w:rsid w:val="008e0d24"/>
    <w:pPr>
      <w:spacing w:before="0" w:after="160"/>
      <w:ind w:start="720"/>
      <w:contextualSpacing/>
    </w:pPr>
    <w:rPr/>
  </w:style>
  <w:style w:type="paragraph" w:styleId="Default" w:customStyle="1">
    <w:name w:val="Default"/>
    <w:qFormat/>
    <w:rsid w:val="00c0002c"/>
    <w:pPr>
      <w:widowControl/>
      <w:bidi w:val="0"/>
      <w:spacing w:lineRule="auto" w:line="240" w:before="0" w:after="0"/>
      <w:jc w:val="start"/>
    </w:pPr>
    <w:rPr>
      <w:rFonts w:ascii="Arial" w:hAnsi="Arial" w:cs="Arial" w:eastAsia="Calibri"/>
      <w:color w:val="000000"/>
      <w:kern w:val="0"/>
      <w:sz w:val="24"/>
      <w:szCs w:val="24"/>
      <w:lang w:val="lt-LT" w:eastAsia="en-US" w:bidi="ar-SA"/>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prastojilentel">
    <w:name w:val="Normal Table"/>
    <w:uiPriority w:val="99"/>
    <w:semiHidden/>
    <w:unhideWhenUsed/>
    <w:tblPr>
      <w:tblCellMar>
        <w:top w:w="0" w:type="dxa"/>
        <w:left w:w="108" w:type="dxa"/>
        <w:bottom w:w="0" w:type="dxa"/>
        <w:right w:w="108" w:type="dxa"/>
      </w:tblCellMar>
    </w:tblPr>
  </w:style>
  <w:style w:type="table" w:styleId="Lentelstinklelis">
    <w:name w:val="Table Grid"/>
    <w:basedOn w:val="prastojilentel"/>
    <w:uiPriority w:val="39"/>
    <w:rsid w:val="00ee485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svg"/><Relationship Id="rId5" Type="http://schemas.openxmlformats.org/officeDocument/2006/relationships/image" Target="media/image4.png"/><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Relationship Id="rId12" Type="http://schemas.openxmlformats.org/officeDocument/2006/relationships/customXml" Target="../customXml/item2.xml"/><Relationship Id="rId13" Type="http://schemas.openxmlformats.org/officeDocument/2006/relationships/customXml" Target="../customXml/item3.xml"/><Relationship Id="rId14" Type="http://schemas.openxmlformats.org/officeDocument/2006/relationships/customXml" Target="../customXml/item4.xml"/>
</Relationships>
</file>

<file path=word/theme/theme1.xml><?xml version="1.0" encoding="utf-8"?>
<a:theme xmlns:a="http://schemas.openxmlformats.org/drawingml/2006/main" xmlns:r="http://schemas.openxmlformats.org/officeDocument/2006/relationships" name="„Office“ t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791bdd8-a65d-4324-a557-51ea89e7fab2">
      <Terms xmlns="http://schemas.microsoft.com/office/infopath/2007/PartnerControls"/>
    </lcf76f155ced4ddcb4097134ff3c332f>
    <TaxCatchAll xmlns="979a2afb-5488-4df4-b758-71e160d84fa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1044F2EB8561D49B9A7916F9F196294" ma:contentTypeVersion="18" ma:contentTypeDescription="Create a new document." ma:contentTypeScope="" ma:versionID="4621de32fa51a3773036a51279b04d76">
  <xsd:schema xmlns:xsd="http://www.w3.org/2001/XMLSchema" xmlns:xs="http://www.w3.org/2001/XMLSchema" xmlns:p="http://schemas.microsoft.com/office/2006/metadata/properties" xmlns:ns2="7791bdd8-a65d-4324-a557-51ea89e7fab2" xmlns:ns3="979a2afb-5488-4df4-b758-71e160d84fa1" targetNamespace="http://schemas.microsoft.com/office/2006/metadata/properties" ma:root="true" ma:fieldsID="aca45b28baea81e3207be5a2fa7c4e82" ns2:_="" ns3:_="">
    <xsd:import namespace="7791bdd8-a65d-4324-a557-51ea89e7fab2"/>
    <xsd:import namespace="979a2afb-5488-4df4-b758-71e160d84f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91bdd8-a65d-4324-a557-51ea89e7fa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46ad506-9777-4700-89f5-7d2b4d81ed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9a2afb-5488-4df4-b758-71e160d84fa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752931d-195b-4b4e-8295-eaa385fdb804}" ma:internalName="TaxCatchAll" ma:showField="CatchAllData" ma:web="979a2afb-5488-4df4-b758-71e160d84f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2A661B-82C9-4ACE-9C0A-74092DD79A8B}">
  <ds:schemaRefs>
    <ds:schemaRef ds:uri="http://schemas.microsoft.com/office/2006/metadata/properties"/>
    <ds:schemaRef ds:uri="http://schemas.microsoft.com/office/infopath/2007/PartnerControls"/>
    <ds:schemaRef ds:uri="7791bdd8-a65d-4324-a557-51ea89e7fab2"/>
    <ds:schemaRef ds:uri="979a2afb-5488-4df4-b758-71e160d84fa1"/>
  </ds:schemaRefs>
</ds:datastoreItem>
</file>

<file path=customXml/itemProps2.xml><?xml version="1.0" encoding="utf-8"?>
<ds:datastoreItem xmlns:ds="http://schemas.openxmlformats.org/officeDocument/2006/customXml" ds:itemID="{D8C72F11-CA5E-4BCF-90DE-B5A4A3E395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91bdd8-a65d-4324-a557-51ea89e7fab2"/>
    <ds:schemaRef ds:uri="979a2afb-5488-4df4-b758-71e160d84f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D8D2D4-354D-44C4-B576-B3BBAF4DC36B}">
  <ds:schemaRefs>
    <ds:schemaRef ds:uri="http://schemas.openxmlformats.org/officeDocument/2006/bibliography"/>
  </ds:schemaRefs>
</ds:datastoreItem>
</file>

<file path=customXml/itemProps4.xml><?xml version="1.0" encoding="utf-8"?>
<ds:datastoreItem xmlns:ds="http://schemas.openxmlformats.org/officeDocument/2006/customXml" ds:itemID="{954D9306-B1DE-4D3A-AD02-65D4398F3D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Application>LibreOffice/26.2.5.2$Windows_X86_64 LibreOffice_project/cd7284b4cbbfeb507e630c1aac019f4157393acb</Application>
  <AppVersion>15.0000</AppVersion>
  <Pages>1</Pages>
  <Words>904</Words>
  <Characters>6287</Characters>
  <CharactersWithSpaces>7151</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2024-03-08T09:36:00Z</dcterms:created>
  <dc:creator/>
  <dc:description/>
  <dc:language>lt-LT</dc:language>
  <cp:lastModifiedBy/>
  <dcterms:modified xsi:type="dcterms:W3CDTF">2026-08-27T08:43:18Z</dcterms:modified>
  <cp:revision>26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0x010100A1044F2EB8561D49B9A7916F9F196294</vt:lpwstr>
  </property>
</Properties>
</file>