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6E13" w14:textId="0BB0036E" w:rsidR="00D1039A" w:rsidRPr="00C32C27" w:rsidRDefault="00D1039A" w:rsidP="00D1039A">
      <w:pPr>
        <w:pStyle w:val="prastasis1"/>
        <w:jc w:val="center"/>
        <w:rPr>
          <w:szCs w:val="24"/>
        </w:rPr>
      </w:pPr>
      <w:r w:rsidRPr="00C32C27">
        <w:rPr>
          <w:szCs w:val="24"/>
        </w:rPr>
        <w:t xml:space="preserve">Panevėžio rajono Krekenavos kultūros centro direktorės </w:t>
      </w:r>
      <w:proofErr w:type="spellStart"/>
      <w:r w:rsidRPr="00C32C27">
        <w:rPr>
          <w:szCs w:val="24"/>
        </w:rPr>
        <w:t>Mirandos</w:t>
      </w:r>
      <w:proofErr w:type="spellEnd"/>
      <w:r w:rsidRPr="00C32C27">
        <w:rPr>
          <w:szCs w:val="24"/>
        </w:rPr>
        <w:t xml:space="preserve"> Uogelės </w:t>
      </w:r>
    </w:p>
    <w:p w14:paraId="5B5FB09C" w14:textId="39EB1B3B" w:rsidR="00D1039A" w:rsidRPr="00C32C27" w:rsidRDefault="00D1039A" w:rsidP="00D1039A">
      <w:pPr>
        <w:pStyle w:val="prastasis1"/>
        <w:jc w:val="center"/>
        <w:rPr>
          <w:szCs w:val="24"/>
        </w:rPr>
      </w:pPr>
      <w:r w:rsidRPr="00C32C27">
        <w:rPr>
          <w:szCs w:val="24"/>
        </w:rPr>
        <w:t>202</w:t>
      </w:r>
      <w:r w:rsidR="00C32C27" w:rsidRPr="00C32C27">
        <w:rPr>
          <w:szCs w:val="24"/>
        </w:rPr>
        <w:t>6</w:t>
      </w:r>
      <w:r w:rsidRPr="00C32C27">
        <w:rPr>
          <w:szCs w:val="24"/>
        </w:rPr>
        <w:t xml:space="preserve"> metų veiklos lūkesčiai </w:t>
      </w:r>
      <w:r w:rsidR="00C32C27" w:rsidRPr="00C32C27">
        <w:rPr>
          <w:szCs w:val="24"/>
        </w:rPr>
        <w:t>(iki gegužės 5 d.)</w:t>
      </w:r>
    </w:p>
    <w:p w14:paraId="7FB8ABBE" w14:textId="77777777" w:rsidR="004152AB" w:rsidRPr="00C32C27" w:rsidRDefault="004152AB">
      <w:pPr>
        <w:jc w:val="center"/>
        <w:rPr>
          <w:b/>
          <w:szCs w:val="24"/>
        </w:rPr>
      </w:pPr>
    </w:p>
    <w:tbl>
      <w:tblPr>
        <w:tblW w:w="9526" w:type="dxa"/>
        <w:tblInd w:w="108" w:type="dxa"/>
        <w:tblLayout w:type="fixed"/>
        <w:tblCellMar>
          <w:left w:w="10" w:type="dxa"/>
          <w:right w:w="10" w:type="dxa"/>
        </w:tblCellMar>
        <w:tblLook w:val="0000" w:firstRow="0" w:lastRow="0" w:firstColumn="0" w:lastColumn="0" w:noHBand="0" w:noVBand="0"/>
      </w:tblPr>
      <w:tblGrid>
        <w:gridCol w:w="9526"/>
      </w:tblGrid>
      <w:tr w:rsidR="004152AB" w:rsidRPr="00C32C27" w14:paraId="1AEBD696" w14:textId="77777777" w:rsidTr="00FF10EB">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5C706" w14:textId="30C683A1" w:rsidR="00D1039A" w:rsidRPr="00C32C27" w:rsidRDefault="00D1039A" w:rsidP="00D1039A">
            <w:pPr>
              <w:jc w:val="both"/>
            </w:pPr>
            <w:r w:rsidRPr="00C32C27">
              <w:t>PAGRINDINIAI EINAMŲJŲ METŲ VEIKLOS LŪKESČIAI (TOLIAU –</w:t>
            </w:r>
            <w:r w:rsidR="00C32C27" w:rsidRPr="00C32C27">
              <w:t xml:space="preserve"> </w:t>
            </w:r>
            <w:r w:rsidRPr="00C32C27">
              <w:t>LŪKESČIAI)</w:t>
            </w:r>
          </w:p>
          <w:p w14:paraId="387D47DC" w14:textId="4C5EB876" w:rsidR="004152AB" w:rsidRPr="00C32C27" w:rsidRDefault="004152AB" w:rsidP="00D1039A">
            <w:pPr>
              <w:jc w:val="both"/>
              <w:rPr>
                <w:kern w:val="3"/>
                <w:szCs w:val="24"/>
              </w:rPr>
            </w:pPr>
          </w:p>
          <w:p w14:paraId="33559465" w14:textId="77777777" w:rsidR="004C121E" w:rsidRPr="00C32C27" w:rsidRDefault="004C121E" w:rsidP="004C121E">
            <w:pPr>
              <w:suppressAutoHyphens w:val="0"/>
              <w:autoSpaceDN/>
              <w:jc w:val="both"/>
              <w:textAlignment w:val="auto"/>
              <w:rPr>
                <w:szCs w:val="24"/>
                <w:lang w:eastAsia="lt-LT"/>
              </w:rPr>
            </w:pPr>
            <w:r w:rsidRPr="00C32C27">
              <w:rPr>
                <w:szCs w:val="24"/>
                <w:lang w:eastAsia="lt-LT"/>
              </w:rPr>
              <w:t>1. Užtikrinti, kad darbuotojų privačių interesų deklaravimas būtų vykdomas laikantis galiojančių teisės aktų, ir patvirtinti pareigybių, kurioms taikoma pareiga deklaruoti privačius interesus, sąrašą.</w:t>
            </w:r>
          </w:p>
          <w:p w14:paraId="752AAB06" w14:textId="5BEB2D6B" w:rsidR="004C121E" w:rsidRPr="00C32C27" w:rsidRDefault="00570B5C" w:rsidP="004C121E">
            <w:pPr>
              <w:suppressAutoHyphens w:val="0"/>
              <w:autoSpaceDN/>
              <w:jc w:val="both"/>
              <w:textAlignment w:val="auto"/>
              <w:rPr>
                <w:szCs w:val="24"/>
                <w:lang w:eastAsia="lt-LT"/>
              </w:rPr>
            </w:pPr>
            <w:r w:rsidRPr="00C32C27">
              <w:rPr>
                <w:kern w:val="3"/>
                <w:szCs w:val="24"/>
              </w:rPr>
              <w:t xml:space="preserve">Lūkesčio vertinimo rodiklis – </w:t>
            </w:r>
            <w:r w:rsidR="00C32C27" w:rsidRPr="00C32C27">
              <w:rPr>
                <w:szCs w:val="24"/>
                <w:lang w:eastAsia="lt-LT"/>
              </w:rPr>
              <w:t>p</w:t>
            </w:r>
            <w:r w:rsidR="004C121E" w:rsidRPr="00C32C27">
              <w:rPr>
                <w:szCs w:val="24"/>
                <w:lang w:eastAsia="lt-LT"/>
              </w:rPr>
              <w:t>atvirtintas pareigybių, privalančių deklaruoti privačius interesus, sąrašas. Užtikrinta, kad 100 proc. darbuotojų, kuriems taikomas reikalavimas, būtų pateikę privačių interesų deklaracijas teisės aktuose nustatyta tvarka ir terminais.</w:t>
            </w:r>
          </w:p>
          <w:p w14:paraId="6CE27391" w14:textId="77777777" w:rsidR="004028FA" w:rsidRPr="00C32C27" w:rsidRDefault="004028FA" w:rsidP="004C121E">
            <w:pPr>
              <w:suppressAutoHyphens w:val="0"/>
              <w:autoSpaceDN/>
              <w:jc w:val="both"/>
              <w:textAlignment w:val="auto"/>
              <w:rPr>
                <w:szCs w:val="24"/>
                <w:lang w:eastAsia="lt-LT"/>
              </w:rPr>
            </w:pPr>
          </w:p>
          <w:p w14:paraId="4A5D9CAA" w14:textId="3AA67885" w:rsidR="004C121E" w:rsidRPr="00C32C27" w:rsidRDefault="001C5630" w:rsidP="004C121E">
            <w:pPr>
              <w:pStyle w:val="prastasiniatinklio"/>
              <w:spacing w:before="0" w:beforeAutospacing="0" w:after="0" w:afterAutospacing="0"/>
              <w:jc w:val="both"/>
            </w:pPr>
            <w:r w:rsidRPr="00C32C27">
              <w:t>2</w:t>
            </w:r>
            <w:r w:rsidR="004C121E" w:rsidRPr="00C32C27">
              <w:t>. Peržiūrėti darbuotojų darbo grafikus, juos sudaryti laikantis teisės aktų reikalavimų, užtikrinti</w:t>
            </w:r>
            <w:r w:rsidR="00C32C27" w:rsidRPr="00C32C27">
              <w:t>, kad būtų</w:t>
            </w:r>
            <w:r w:rsidR="004C121E" w:rsidRPr="00C32C27">
              <w:t xml:space="preserve"> </w:t>
            </w:r>
            <w:r w:rsidR="00C32C27" w:rsidRPr="00C32C27">
              <w:t>laik</w:t>
            </w:r>
            <w:r w:rsidR="00C32C27" w:rsidRPr="00C32C27">
              <w:t>oma</w:t>
            </w:r>
            <w:r w:rsidR="00C32C27" w:rsidRPr="00C32C27">
              <w:t>si</w:t>
            </w:r>
            <w:r w:rsidR="00C32C27" w:rsidRPr="00C32C27">
              <w:t xml:space="preserve"> </w:t>
            </w:r>
            <w:r w:rsidR="004C121E" w:rsidRPr="00C32C27">
              <w:t xml:space="preserve">darbo </w:t>
            </w:r>
            <w:r w:rsidR="00C32C27" w:rsidRPr="00C32C27">
              <w:t>grafik</w:t>
            </w:r>
            <w:r w:rsidR="004C121E" w:rsidRPr="00C32C27">
              <w:t>o, taip pat peržiūrėti nuotolinio darbo sąlygas, siekiant užtikrinti atliekamų funkcijų kokybę.</w:t>
            </w:r>
          </w:p>
          <w:p w14:paraId="15FEFECD" w14:textId="77777777" w:rsidR="004028FA" w:rsidRPr="00C32C27" w:rsidRDefault="004028FA" w:rsidP="004C121E">
            <w:pPr>
              <w:pStyle w:val="prastasiniatinklio"/>
              <w:spacing w:before="0" w:beforeAutospacing="0" w:after="0" w:afterAutospacing="0"/>
              <w:jc w:val="both"/>
            </w:pPr>
          </w:p>
          <w:p w14:paraId="044FF7F5" w14:textId="4E1A5A29" w:rsidR="004C121E" w:rsidRPr="00C32C27" w:rsidRDefault="00570B5C" w:rsidP="004C121E">
            <w:pPr>
              <w:pStyle w:val="prastasiniatinklio"/>
              <w:spacing w:before="0" w:beforeAutospacing="0" w:after="0" w:afterAutospacing="0"/>
              <w:jc w:val="both"/>
            </w:pPr>
            <w:r w:rsidRPr="00C32C27">
              <w:rPr>
                <w:kern w:val="3"/>
              </w:rPr>
              <w:t xml:space="preserve">Lūkesčio vertinimo rodiklis – </w:t>
            </w:r>
            <w:r w:rsidR="00C32C27" w:rsidRPr="00C32C27">
              <w:t>d</w:t>
            </w:r>
            <w:r w:rsidR="004C121E" w:rsidRPr="00C32C27">
              <w:t>arbo grafikai sudaryti ir patvirtinti teisės aktų nustatyta tvarka. Užtikrinta, kad darbuotojai dirbtų pagal patvirtintus grafikus. Peržiūrėtos ir, jei reikia, atnaujintos nuotolinio darbo sąlygos, užtikrinant darbo organizavimo aiškumą ir paslaugų kokybę.</w:t>
            </w:r>
          </w:p>
          <w:p w14:paraId="76AE10C3" w14:textId="77777777" w:rsidR="004028FA" w:rsidRPr="00C32C27" w:rsidRDefault="004028FA" w:rsidP="004C121E">
            <w:pPr>
              <w:pStyle w:val="prastasiniatinklio"/>
              <w:spacing w:before="0" w:beforeAutospacing="0" w:after="0" w:afterAutospacing="0"/>
              <w:jc w:val="both"/>
            </w:pPr>
          </w:p>
          <w:p w14:paraId="1E5F985A" w14:textId="51B5CF83" w:rsidR="004C121E" w:rsidRPr="00C32C27" w:rsidRDefault="001C5630" w:rsidP="004C121E">
            <w:pPr>
              <w:suppressAutoHyphens w:val="0"/>
              <w:autoSpaceDN/>
              <w:jc w:val="both"/>
              <w:textAlignment w:val="auto"/>
              <w:rPr>
                <w:szCs w:val="24"/>
                <w:lang w:eastAsia="lt-LT"/>
              </w:rPr>
            </w:pPr>
            <w:r w:rsidRPr="00C32C27">
              <w:rPr>
                <w:szCs w:val="24"/>
                <w:lang w:eastAsia="lt-LT"/>
              </w:rPr>
              <w:t>3</w:t>
            </w:r>
            <w:r w:rsidR="004C121E" w:rsidRPr="00C32C27">
              <w:rPr>
                <w:szCs w:val="24"/>
                <w:lang w:eastAsia="lt-LT"/>
              </w:rPr>
              <w:t>. Peržiūrėti galimus nepotizmo atvejus ir užtikrinti nepotizmo prevencijos priemonių taikymą.</w:t>
            </w:r>
          </w:p>
          <w:p w14:paraId="5D7CE5E4" w14:textId="31643CC5" w:rsidR="00AB42F2" w:rsidRPr="00C32C27" w:rsidRDefault="00570B5C" w:rsidP="004C121E">
            <w:pPr>
              <w:suppressAutoHyphens w:val="0"/>
              <w:autoSpaceDN/>
              <w:jc w:val="both"/>
              <w:textAlignment w:val="auto"/>
              <w:rPr>
                <w:szCs w:val="24"/>
                <w:lang w:eastAsia="lt-LT"/>
              </w:rPr>
            </w:pPr>
            <w:r w:rsidRPr="00C32C27">
              <w:rPr>
                <w:kern w:val="3"/>
                <w:szCs w:val="24"/>
              </w:rPr>
              <w:t xml:space="preserve">Lūkesčio vertinimo rodiklis – </w:t>
            </w:r>
            <w:r w:rsidR="00C32C27" w:rsidRPr="00C32C27">
              <w:rPr>
                <w:szCs w:val="24"/>
                <w:lang w:eastAsia="lt-LT"/>
              </w:rPr>
              <w:t>a</w:t>
            </w:r>
            <w:r w:rsidR="004C121E" w:rsidRPr="00C32C27">
              <w:rPr>
                <w:szCs w:val="24"/>
                <w:lang w:eastAsia="lt-LT"/>
              </w:rPr>
              <w:t>tlikta galimų nepotizmo atvejų peržiūra. Nustatyti atvejai (jei tokių yra) įvertinti teisės aktų nustatyta tvarka ir pritaikytos prevencinės ar korekcinės priemonės. Užtikrintas skaidrumo ir interesų konfliktų prevencijos principų laikymasis.</w:t>
            </w:r>
          </w:p>
          <w:p w14:paraId="4FC02F85" w14:textId="11D9EAC9" w:rsidR="004028FA" w:rsidRPr="00C32C27" w:rsidRDefault="004028FA" w:rsidP="004C121E">
            <w:pPr>
              <w:suppressAutoHyphens w:val="0"/>
              <w:autoSpaceDN/>
              <w:jc w:val="both"/>
              <w:textAlignment w:val="auto"/>
              <w:rPr>
                <w:szCs w:val="24"/>
                <w:lang w:eastAsia="lt-LT"/>
              </w:rPr>
            </w:pPr>
          </w:p>
        </w:tc>
      </w:tr>
    </w:tbl>
    <w:p w14:paraId="180E96EA" w14:textId="77777777" w:rsidR="004152AB" w:rsidRPr="00C32C27" w:rsidRDefault="004152AB"/>
    <w:p w14:paraId="35A6D5AB" w14:textId="219E1EBF" w:rsidR="004152AB" w:rsidRPr="00C32C27" w:rsidRDefault="004152AB" w:rsidP="00D1039A">
      <w:pPr>
        <w:jc w:val="center"/>
      </w:pPr>
    </w:p>
    <w:sectPr w:rsidR="004152AB" w:rsidRPr="00C32C27">
      <w:headerReference w:type="default" r:id="rId7"/>
      <w:footerReference w:type="default" r:id="rId8"/>
      <w:headerReference w:type="first" r:id="rId9"/>
      <w:footerReference w:type="first" r:id="rId10"/>
      <w:pgSz w:w="11906" w:h="16838"/>
      <w:pgMar w:top="1134" w:right="70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A0B3" w14:textId="77777777" w:rsidR="006700FC" w:rsidRDefault="006700FC">
      <w:r>
        <w:separator/>
      </w:r>
    </w:p>
  </w:endnote>
  <w:endnote w:type="continuationSeparator" w:id="0">
    <w:p w14:paraId="12308543" w14:textId="77777777" w:rsidR="006700FC" w:rsidRDefault="0067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3032" w14:textId="77777777" w:rsidR="00086CDF" w:rsidRDefault="00086CD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9297" w14:textId="77777777" w:rsidR="00086CDF" w:rsidRDefault="00086CD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8D86" w14:textId="77777777" w:rsidR="006700FC" w:rsidRDefault="006700FC">
      <w:r>
        <w:rPr>
          <w:color w:val="000000"/>
        </w:rPr>
        <w:separator/>
      </w:r>
    </w:p>
  </w:footnote>
  <w:footnote w:type="continuationSeparator" w:id="0">
    <w:p w14:paraId="2B9858F8" w14:textId="77777777" w:rsidR="006700FC" w:rsidRDefault="0067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4A89" w14:textId="77777777" w:rsidR="00086CDF" w:rsidRDefault="00566FB7">
    <w:pPr>
      <w:tabs>
        <w:tab w:val="center" w:pos="4153"/>
        <w:tab w:val="right" w:pos="8306"/>
      </w:tabs>
    </w:pPr>
    <w:r>
      <w:rPr>
        <w:noProof/>
        <w:lang w:val="en-US"/>
      </w:rPr>
      <mc:AlternateContent>
        <mc:Choice Requires="wps">
          <w:drawing>
            <wp:anchor distT="0" distB="0" distL="114300" distR="114300" simplePos="0" relativeHeight="251659264" behindDoc="0" locked="0" layoutInCell="1" allowOverlap="1" wp14:anchorId="7139248F" wp14:editId="383C672E">
              <wp:simplePos x="0" y="0"/>
              <wp:positionH relativeFrom="margin">
                <wp:align>center</wp:align>
              </wp:positionH>
              <wp:positionV relativeFrom="paragraph">
                <wp:posOffset>548</wp:posOffset>
              </wp:positionV>
              <wp:extent cx="0" cy="0"/>
              <wp:effectExtent l="0" t="0" r="0" b="0"/>
              <wp:wrapSquare wrapText="bothSides"/>
              <wp:docPr id="641923541" name="Teksto laukas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04F127A" w14:textId="77777777" w:rsidR="00086CDF" w:rsidRDefault="00566FB7">
                          <w:pPr>
                            <w:tabs>
                              <w:tab w:val="center" w:pos="4153"/>
                              <w:tab w:val="right" w:pos="8306"/>
                            </w:tabs>
                          </w:pPr>
                          <w:r>
                            <w:rPr>
                              <w:lang w:eastAsia="lt-LT"/>
                            </w:rPr>
                            <w:fldChar w:fldCharType="begin"/>
                          </w:r>
                          <w:r>
                            <w:rPr>
                              <w:lang w:eastAsia="lt-LT"/>
                            </w:rPr>
                            <w:instrText xml:space="preserve"> PAGE </w:instrText>
                          </w:r>
                          <w:r>
                            <w:rPr>
                              <w:lang w:eastAsia="lt-LT"/>
                            </w:rPr>
                            <w:fldChar w:fldCharType="separate"/>
                          </w:r>
                          <w:r w:rsidR="00D1039A">
                            <w:rPr>
                              <w:noProof/>
                              <w:lang w:eastAsia="lt-LT"/>
                            </w:rPr>
                            <w:t>2</w:t>
                          </w:r>
                          <w:r>
                            <w:rPr>
                              <w:lang w:eastAsia="lt-LT"/>
                            </w:rPr>
                            <w:fldChar w:fldCharType="end"/>
                          </w:r>
                        </w:p>
                      </w:txbxContent>
                    </wps:txbx>
                    <wps:bodyPr vert="horz" wrap="none" lIns="0" tIns="0" rIns="0" bIns="0" anchor="t" anchorCtr="0" compatLnSpc="0">
                      <a:spAutoFit/>
                    </wps:bodyPr>
                  </wps:wsp>
                </a:graphicData>
              </a:graphic>
            </wp:anchor>
          </w:drawing>
        </mc:Choice>
        <mc:Fallback>
          <w:pict>
            <v:shapetype w14:anchorId="7139248F" id="_x0000_t202" coordsize="21600,21600" o:spt="202" path="m,l,21600r21600,l21600,xe">
              <v:stroke joinstyle="miter"/>
              <v:path gradientshapeok="t" o:connecttype="rect"/>
            </v:shapetype>
            <v:shape id="Teksto laukas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04F127A" w14:textId="77777777" w:rsidR="00086CDF" w:rsidRDefault="00566FB7">
                    <w:pPr>
                      <w:tabs>
                        <w:tab w:val="center" w:pos="4153"/>
                        <w:tab w:val="right" w:pos="8306"/>
                      </w:tabs>
                    </w:pPr>
                    <w:r>
                      <w:rPr>
                        <w:lang w:eastAsia="lt-LT"/>
                      </w:rPr>
                      <w:fldChar w:fldCharType="begin"/>
                    </w:r>
                    <w:r>
                      <w:rPr>
                        <w:lang w:eastAsia="lt-LT"/>
                      </w:rPr>
                      <w:instrText xml:space="preserve"> PAGE </w:instrText>
                    </w:r>
                    <w:r>
                      <w:rPr>
                        <w:lang w:eastAsia="lt-LT"/>
                      </w:rPr>
                      <w:fldChar w:fldCharType="separate"/>
                    </w:r>
                    <w:r w:rsidR="00D1039A">
                      <w:rPr>
                        <w:noProof/>
                        <w:lang w:eastAsia="lt-LT"/>
                      </w:rPr>
                      <w:t>2</w:t>
                    </w:r>
                    <w:r>
                      <w:rPr>
                        <w:lang w:eastAsia="lt-LT"/>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2C5" w14:textId="77777777" w:rsidR="00086CDF" w:rsidRDefault="00086CDF">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4B82"/>
    <w:multiLevelType w:val="hybridMultilevel"/>
    <w:tmpl w:val="0AF82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C62C60"/>
    <w:multiLevelType w:val="multilevel"/>
    <w:tmpl w:val="36EC667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73E15B7"/>
    <w:multiLevelType w:val="multilevel"/>
    <w:tmpl w:val="36EC667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7E80CF1"/>
    <w:multiLevelType w:val="hybridMultilevel"/>
    <w:tmpl w:val="57884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6011666">
    <w:abstractNumId w:val="3"/>
  </w:num>
  <w:num w:numId="2" w16cid:durableId="149058081">
    <w:abstractNumId w:val="1"/>
  </w:num>
  <w:num w:numId="3" w16cid:durableId="1857688267">
    <w:abstractNumId w:val="0"/>
  </w:num>
  <w:num w:numId="4" w16cid:durableId="148874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AB"/>
    <w:rsid w:val="00081A45"/>
    <w:rsid w:val="00086CDF"/>
    <w:rsid w:val="00092174"/>
    <w:rsid w:val="00096407"/>
    <w:rsid w:val="00127A66"/>
    <w:rsid w:val="00180904"/>
    <w:rsid w:val="00196656"/>
    <w:rsid w:val="001C5630"/>
    <w:rsid w:val="001F456B"/>
    <w:rsid w:val="0020301A"/>
    <w:rsid w:val="00247636"/>
    <w:rsid w:val="002949EB"/>
    <w:rsid w:val="002D54A7"/>
    <w:rsid w:val="004028FA"/>
    <w:rsid w:val="0040745C"/>
    <w:rsid w:val="004152AB"/>
    <w:rsid w:val="00441EAD"/>
    <w:rsid w:val="004900DB"/>
    <w:rsid w:val="004B24D6"/>
    <w:rsid w:val="004B28A7"/>
    <w:rsid w:val="004C121E"/>
    <w:rsid w:val="0052200F"/>
    <w:rsid w:val="00566266"/>
    <w:rsid w:val="00566FB7"/>
    <w:rsid w:val="00570B5C"/>
    <w:rsid w:val="005C7A71"/>
    <w:rsid w:val="00600124"/>
    <w:rsid w:val="006050FC"/>
    <w:rsid w:val="0066772B"/>
    <w:rsid w:val="00667F09"/>
    <w:rsid w:val="006700FC"/>
    <w:rsid w:val="006A560F"/>
    <w:rsid w:val="006A6C61"/>
    <w:rsid w:val="0070675D"/>
    <w:rsid w:val="00716915"/>
    <w:rsid w:val="00721E92"/>
    <w:rsid w:val="00763BAE"/>
    <w:rsid w:val="00795031"/>
    <w:rsid w:val="007A1611"/>
    <w:rsid w:val="007F7CA3"/>
    <w:rsid w:val="00816A56"/>
    <w:rsid w:val="0082236A"/>
    <w:rsid w:val="00833E9C"/>
    <w:rsid w:val="00860412"/>
    <w:rsid w:val="00863615"/>
    <w:rsid w:val="008823BD"/>
    <w:rsid w:val="008C0AEB"/>
    <w:rsid w:val="00930EB9"/>
    <w:rsid w:val="009D0A9F"/>
    <w:rsid w:val="009E426B"/>
    <w:rsid w:val="009F1D53"/>
    <w:rsid w:val="00A85988"/>
    <w:rsid w:val="00A96C48"/>
    <w:rsid w:val="00AB42F2"/>
    <w:rsid w:val="00AC2EA5"/>
    <w:rsid w:val="00B021E6"/>
    <w:rsid w:val="00B05C24"/>
    <w:rsid w:val="00BA68A4"/>
    <w:rsid w:val="00BC5DDA"/>
    <w:rsid w:val="00BD5632"/>
    <w:rsid w:val="00BE41C1"/>
    <w:rsid w:val="00C10C0E"/>
    <w:rsid w:val="00C32C27"/>
    <w:rsid w:val="00C44DEE"/>
    <w:rsid w:val="00C47CF5"/>
    <w:rsid w:val="00CB05E3"/>
    <w:rsid w:val="00CE23C7"/>
    <w:rsid w:val="00D1039A"/>
    <w:rsid w:val="00D36160"/>
    <w:rsid w:val="00D665BD"/>
    <w:rsid w:val="00E77800"/>
    <w:rsid w:val="00E95889"/>
    <w:rsid w:val="00ED6CC9"/>
    <w:rsid w:val="00EF0BBD"/>
    <w:rsid w:val="00F47DAE"/>
    <w:rsid w:val="00FA264B"/>
    <w:rsid w:val="00FD074F"/>
    <w:rsid w:val="00FE408A"/>
    <w:rsid w:val="00FF1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9F33"/>
  <w15:docId w15:val="{CC07573E-DD04-494E-AA3C-7B4F7B55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680"/>
        <w:tab w:val="right" w:pos="9360"/>
      </w:tabs>
    </w:pPr>
    <w:rPr>
      <w:rFonts w:ascii="Calibri" w:hAnsi="Calibri"/>
      <w:sz w:val="22"/>
      <w:szCs w:val="22"/>
      <w:lang w:eastAsia="lt-LT"/>
    </w:rPr>
  </w:style>
  <w:style w:type="character" w:customStyle="1" w:styleId="HeaderChar">
    <w:name w:val="Header Char"/>
    <w:basedOn w:val="Numatytasispastraiposriftas"/>
    <w:rPr>
      <w:rFonts w:ascii="Calibri" w:eastAsia="Times New Roman" w:hAnsi="Calibri"/>
      <w:sz w:val="22"/>
      <w:szCs w:val="22"/>
      <w:lang w:eastAsia="lt-LT"/>
    </w:rPr>
  </w:style>
  <w:style w:type="character" w:styleId="Vietosrezervavimoenklotekstas">
    <w:name w:val="Placeholder Text"/>
    <w:basedOn w:val="Numatytasispastraiposriftas"/>
    <w:rPr>
      <w:color w:val="808080"/>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paragraph" w:styleId="Sraopastraipa">
    <w:name w:val="List Paragraph"/>
    <w:basedOn w:val="prastasis"/>
    <w:qFormat/>
    <w:rsid w:val="00180904"/>
    <w:pPr>
      <w:ind w:left="720"/>
      <w:contextualSpacing/>
    </w:pPr>
  </w:style>
  <w:style w:type="paragraph" w:styleId="prastasiniatinklio">
    <w:name w:val="Normal (Web)"/>
    <w:basedOn w:val="prastasis"/>
    <w:uiPriority w:val="99"/>
    <w:semiHidden/>
    <w:unhideWhenUsed/>
    <w:rsid w:val="004C121E"/>
    <w:pPr>
      <w:suppressAutoHyphens w:val="0"/>
      <w:autoSpaceDN/>
      <w:spacing w:before="100" w:beforeAutospacing="1" w:after="100" w:afterAutospacing="1"/>
      <w:textAlignment w:val="auto"/>
    </w:pPr>
    <w:rPr>
      <w:szCs w:val="24"/>
      <w:lang w:eastAsia="lt-LT"/>
    </w:rPr>
  </w:style>
  <w:style w:type="paragraph" w:customStyle="1" w:styleId="prastasis1">
    <w:name w:val="Įprastasis1"/>
    <w:rsid w:val="00A96C48"/>
    <w:pPr>
      <w:suppressAutoHyphens/>
    </w:pPr>
  </w:style>
  <w:style w:type="character" w:customStyle="1" w:styleId="Numatytasispastraiposriftas1">
    <w:name w:val="Numatytasis pastraipos šriftas1"/>
    <w:rsid w:val="00A96C48"/>
  </w:style>
  <w:style w:type="paragraph" w:styleId="Debesliotekstas">
    <w:name w:val="Balloon Text"/>
    <w:basedOn w:val="prastasis"/>
    <w:link w:val="DebesliotekstasDiagrama"/>
    <w:uiPriority w:val="99"/>
    <w:semiHidden/>
    <w:unhideWhenUsed/>
    <w:rsid w:val="00092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2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986</Words>
  <Characters>563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Rita Karpavičienė</cp:lastModifiedBy>
  <cp:revision>2</cp:revision>
  <cp:lastPrinted>2026-02-20T11:31:00Z</cp:lastPrinted>
  <dcterms:created xsi:type="dcterms:W3CDTF">2026-03-18T08:03:00Z</dcterms:created>
  <dcterms:modified xsi:type="dcterms:W3CDTF">2026-03-18T08:03:00Z</dcterms:modified>
</cp:coreProperties>
</file>